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3EDB78B2" w:rsidR="00541A65" w:rsidRPr="005A5862" w:rsidRDefault="00541A65" w:rsidP="00541A65">
      <w:pPr>
        <w:pStyle w:val="Header"/>
        <w:tabs>
          <w:tab w:val="right" w:pos="9639"/>
        </w:tabs>
        <w:rPr>
          <w:bCs/>
          <w:i/>
          <w:noProof w:val="0"/>
          <w:sz w:val="24"/>
          <w:szCs w:val="24"/>
        </w:rPr>
      </w:pPr>
      <w:r w:rsidRPr="005A5862">
        <w:rPr>
          <w:bCs/>
          <w:noProof w:val="0"/>
          <w:sz w:val="24"/>
          <w:szCs w:val="24"/>
        </w:rPr>
        <w:t>3GPP TSG-RAN WG2 Meeting #12</w:t>
      </w:r>
      <w:r w:rsidR="00911F55">
        <w:rPr>
          <w:bCs/>
          <w:noProof w:val="0"/>
          <w:sz w:val="24"/>
          <w:szCs w:val="24"/>
        </w:rPr>
        <w:t>9</w:t>
      </w:r>
      <w:r w:rsidR="00E862B3">
        <w:rPr>
          <w:bCs/>
          <w:noProof w:val="0"/>
          <w:sz w:val="24"/>
          <w:szCs w:val="24"/>
        </w:rPr>
        <w:t>bis</w:t>
      </w:r>
      <w:r w:rsidRPr="005A5862">
        <w:rPr>
          <w:bCs/>
          <w:noProof w:val="0"/>
          <w:sz w:val="24"/>
          <w:szCs w:val="24"/>
        </w:rPr>
        <w:tab/>
        <w:t>R2-</w:t>
      </w:r>
      <w:r w:rsidR="00C5238C" w:rsidRPr="00C5238C">
        <w:rPr>
          <w:bCs/>
          <w:noProof w:val="0"/>
          <w:sz w:val="24"/>
          <w:szCs w:val="24"/>
        </w:rPr>
        <w:t>2501974</w:t>
      </w:r>
      <w:r w:rsidR="00C5238C" w:rsidRPr="00C5238C" w:rsidDel="00C5238C">
        <w:rPr>
          <w:bCs/>
          <w:noProof w:val="0"/>
          <w:sz w:val="24"/>
          <w:szCs w:val="24"/>
        </w:rPr>
        <w:t xml:space="preserve"> </w:t>
      </w:r>
    </w:p>
    <w:p w14:paraId="3723E1D3" w14:textId="04B22A7F" w:rsidR="005432D9" w:rsidRPr="005A5862" w:rsidRDefault="00E862B3" w:rsidP="00541A65">
      <w:pPr>
        <w:pStyle w:val="Header"/>
        <w:tabs>
          <w:tab w:val="right" w:pos="9641"/>
        </w:tabs>
        <w:rPr>
          <w:rFonts w:eastAsia="SimSun"/>
          <w:bCs/>
          <w:sz w:val="24"/>
          <w:szCs w:val="24"/>
          <w:lang w:eastAsia="zh-CN"/>
        </w:rPr>
      </w:pPr>
      <w:r>
        <w:rPr>
          <w:sz w:val="24"/>
        </w:rPr>
        <w:t>Wuhan</w:t>
      </w:r>
      <w:r w:rsidR="00541A65" w:rsidRPr="005A5862">
        <w:rPr>
          <w:sz w:val="24"/>
        </w:rPr>
        <w:t xml:space="preserve">, </w:t>
      </w:r>
      <w:r>
        <w:rPr>
          <w:sz w:val="24"/>
        </w:rPr>
        <w:t>China</w:t>
      </w:r>
      <w:r w:rsidR="00541A65" w:rsidRPr="005A5862">
        <w:rPr>
          <w:sz w:val="24"/>
        </w:rPr>
        <w:t xml:space="preserve">, </w:t>
      </w:r>
      <w:r>
        <w:rPr>
          <w:sz w:val="24"/>
        </w:rPr>
        <w:t>0</w:t>
      </w:r>
      <w:r w:rsidR="009076D6">
        <w:rPr>
          <w:sz w:val="24"/>
        </w:rPr>
        <w:t>7</w:t>
      </w:r>
      <w:r w:rsidR="00541A65" w:rsidRPr="005A5862">
        <w:rPr>
          <w:sz w:val="24"/>
        </w:rPr>
        <w:t xml:space="preserve"> – </w:t>
      </w:r>
      <w:r w:rsidR="006F596D">
        <w:rPr>
          <w:sz w:val="24"/>
        </w:rPr>
        <w:t>11</w:t>
      </w:r>
      <w:r w:rsidR="00541A65" w:rsidRPr="005A5862">
        <w:rPr>
          <w:sz w:val="24"/>
        </w:rPr>
        <w:t xml:space="preserve"> </w:t>
      </w:r>
      <w:r>
        <w:rPr>
          <w:sz w:val="24"/>
        </w:rPr>
        <w:t>April</w:t>
      </w:r>
      <w:r w:rsidR="00541A65" w:rsidRPr="005A5862">
        <w:rPr>
          <w:sz w:val="24"/>
        </w:rPr>
        <w:t xml:space="preserve"> 202</w:t>
      </w:r>
      <w:r w:rsidR="00911F55">
        <w:rPr>
          <w:sz w:val="24"/>
        </w:rPr>
        <w:t>5</w:t>
      </w:r>
      <w:r w:rsidR="00163A64">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5581BC90"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5238C">
        <w:rPr>
          <w:rFonts w:cs="Arial"/>
          <w:b/>
          <w:bCs/>
          <w:sz w:val="24"/>
          <w:lang w:eastAsia="ja-JP"/>
        </w:rPr>
        <w:t>8</w:t>
      </w:r>
      <w:r>
        <w:rPr>
          <w:rFonts w:cs="Arial"/>
          <w:b/>
          <w:bCs/>
          <w:sz w:val="24"/>
          <w:lang w:eastAsia="ja-JP"/>
        </w:rPr>
        <w:t>.</w:t>
      </w:r>
      <w:r w:rsidR="00C5238C">
        <w:rPr>
          <w:rFonts w:cs="Arial"/>
          <w:b/>
          <w:bCs/>
          <w:sz w:val="24"/>
          <w:lang w:eastAsia="ja-JP"/>
        </w:rPr>
        <w:t>8</w:t>
      </w:r>
      <w:r>
        <w:rPr>
          <w:rFonts w:cs="Arial"/>
          <w:b/>
          <w:bCs/>
          <w:sz w:val="24"/>
          <w:lang w:eastAsia="ja-JP"/>
        </w:rPr>
        <w:t>.</w:t>
      </w:r>
      <w:r w:rsidR="00C5238C">
        <w:rPr>
          <w:rFonts w:cs="Arial"/>
          <w:b/>
          <w:bCs/>
          <w:sz w:val="24"/>
          <w:lang w:eastAsia="ja-JP"/>
        </w:rPr>
        <w:t>2</w:t>
      </w:r>
    </w:p>
    <w:p w14:paraId="0EC781B3" w14:textId="00F0583C"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FA0AB7">
        <w:rPr>
          <w:rFonts w:ascii="Arial" w:hAnsi="Arial" w:cs="Arial"/>
          <w:b/>
          <w:bCs/>
          <w:sz w:val="24"/>
        </w:rPr>
        <w:t>, Nokia Shanghai Bell</w:t>
      </w:r>
    </w:p>
    <w:p w14:paraId="16C775DD" w14:textId="6D2BB80D"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A0AB7">
        <w:rPr>
          <w:rFonts w:ascii="Arial" w:hAnsi="Arial" w:cs="Arial"/>
          <w:b/>
          <w:bCs/>
          <w:sz w:val="24"/>
        </w:rPr>
        <w:t>NTN downlink coverage enhancements</w:t>
      </w:r>
    </w:p>
    <w:p w14:paraId="7D015DD9" w14:textId="7C423F22"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02DA7" w:rsidRPr="00002DA7">
        <w:rPr>
          <w:rFonts w:ascii="Arial" w:hAnsi="Arial" w:cs="Arial"/>
          <w:b/>
          <w:bCs/>
          <w:sz w:val="24"/>
        </w:rPr>
        <w:t>NR_NTN_Ph3-Core</w:t>
      </w:r>
      <w:r w:rsidR="00002DA7" w:rsidRPr="00002DA7" w:rsidDel="00002DA7">
        <w:rPr>
          <w:rFonts w:ascii="Arial" w:hAnsi="Arial" w:cs="Arial"/>
          <w:b/>
          <w:bCs/>
          <w:sz w:val="24"/>
        </w:rPr>
        <w:t xml:space="preserve"> </w:t>
      </w:r>
      <w:r>
        <w:rPr>
          <w:rFonts w:ascii="Arial" w:hAnsi="Arial" w:cs="Arial"/>
          <w:b/>
          <w:bCs/>
          <w:sz w:val="24"/>
        </w:rPr>
        <w:t xml:space="preserve">- Release </w:t>
      </w:r>
      <w:r w:rsidR="00FA0AB7">
        <w:rPr>
          <w:rFonts w:ascii="Arial" w:hAnsi="Arial" w:cs="Arial"/>
          <w:b/>
          <w:bCs/>
          <w:sz w:val="24"/>
        </w:rPr>
        <w:t>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0D91D783" w14:textId="39B3C017" w:rsidR="008B549E" w:rsidRDefault="00B04F33" w:rsidP="008B549E">
      <w:r>
        <w:t>This document further discusses the aspects of downlink coverage enhancement, especially the aspects of SMTC configuration and other impacts</w:t>
      </w:r>
      <w:r w:rsidR="00747CC0">
        <w:t>.</w:t>
      </w:r>
      <w:r w:rsidRPr="00F405E4">
        <w:rPr>
          <w:highlight w:val="yellow"/>
        </w:rPr>
        <w:t xml:space="preserve"> </w:t>
      </w:r>
    </w:p>
    <w:p w14:paraId="55C9D50A" w14:textId="4B3A7F9F" w:rsidR="00F44301" w:rsidRDefault="008B549E" w:rsidP="00EF7A99">
      <w:pPr>
        <w:pStyle w:val="Heading1"/>
      </w:pPr>
      <w:r>
        <w:t>2</w:t>
      </w:r>
      <w:r>
        <w:tab/>
      </w:r>
      <w:r w:rsidR="008E239A">
        <w:t>Discussion</w:t>
      </w:r>
    </w:p>
    <w:p w14:paraId="3AFED765" w14:textId="1E3ED732" w:rsidR="00F44301" w:rsidRDefault="00F44301" w:rsidP="00F44301">
      <w:pPr>
        <w:pStyle w:val="Heading2"/>
      </w:pPr>
      <w:r>
        <w:t>2.</w:t>
      </w:r>
      <w:r w:rsidR="005F4AB9">
        <w:t>1</w:t>
      </w:r>
      <w:r>
        <w:tab/>
      </w:r>
      <w:r w:rsidR="008902C8">
        <w:t>D</w:t>
      </w:r>
      <w:r w:rsidR="005F4AB9">
        <w:t>ifferent SSB periodicity among neighbo</w:t>
      </w:r>
      <w:r w:rsidR="00F405E4">
        <w:t>u</w:t>
      </w:r>
      <w:r w:rsidR="005F4AB9">
        <w:t>r cells in the same frequency layer</w:t>
      </w:r>
    </w:p>
    <w:p w14:paraId="02B99910" w14:textId="3BC6F702" w:rsidR="7BD7250D" w:rsidRDefault="009324C5" w:rsidP="0253986F">
      <w:r>
        <w:t xml:space="preserve">In the </w:t>
      </w:r>
      <w:r w:rsidR="00355281">
        <w:t xml:space="preserve">discussions of the </w:t>
      </w:r>
      <w:r>
        <w:t xml:space="preserve">DL-CE </w:t>
      </w:r>
      <w:r w:rsidR="00491CAE">
        <w:t xml:space="preserve">objective of the NR_NTN_Ph3 WI, it has been agreed to </w:t>
      </w:r>
      <w:r w:rsidR="7BD7250D">
        <w:t xml:space="preserve">support a new </w:t>
      </w:r>
      <w:r w:rsidR="5B0BBCF6">
        <w:t xml:space="preserve">default </w:t>
      </w:r>
      <w:r w:rsidR="7BD7250D">
        <w:t>SSB periodicity of 160 ms</w:t>
      </w:r>
      <w:r w:rsidR="00355281">
        <w:t xml:space="preserve">, in RAN1: </w:t>
      </w:r>
    </w:p>
    <w:tbl>
      <w:tblPr>
        <w:tblStyle w:val="TableGrid"/>
        <w:tblW w:w="0" w:type="auto"/>
        <w:tblLayout w:type="fixed"/>
        <w:tblLook w:val="06A0" w:firstRow="1" w:lastRow="0" w:firstColumn="1" w:lastColumn="0" w:noHBand="1" w:noVBand="1"/>
      </w:tblPr>
      <w:tblGrid>
        <w:gridCol w:w="9630"/>
      </w:tblGrid>
      <w:tr w:rsidR="0253986F" w14:paraId="1228FE19" w14:textId="77777777" w:rsidTr="0253986F">
        <w:trPr>
          <w:trHeight w:val="300"/>
        </w:trPr>
        <w:tc>
          <w:tcPr>
            <w:tcW w:w="9630" w:type="dxa"/>
          </w:tcPr>
          <w:p w14:paraId="4724B6D4" w14:textId="6F8AE271" w:rsidR="12785707" w:rsidRDefault="12785707" w:rsidP="0253986F">
            <w:pPr>
              <w:spacing w:after="0"/>
            </w:pPr>
            <w:r w:rsidRPr="0253986F">
              <w:rPr>
                <w:highlight w:val="green"/>
              </w:rPr>
              <w:t>Agreement</w:t>
            </w:r>
          </w:p>
          <w:p w14:paraId="52EE3C80" w14:textId="1B5BA033" w:rsidR="12785707" w:rsidRDefault="12785707" w:rsidP="0253986F">
            <w:pPr>
              <w:spacing w:after="0"/>
            </w:pPr>
            <w:r w:rsidRPr="0253986F">
              <w:t xml:space="preserve">For NR NTN, support extended periodicity of the half frames with SS/PBCH blocks assumed by UE during initial access. </w:t>
            </w:r>
          </w:p>
          <w:p w14:paraId="18474872" w14:textId="261A8D4C" w:rsidR="12785707" w:rsidRDefault="12785707" w:rsidP="0253986F">
            <w:pPr>
              <w:pStyle w:val="ListParagraph"/>
              <w:numPr>
                <w:ilvl w:val="0"/>
                <w:numId w:val="1"/>
              </w:numPr>
              <w:spacing w:after="0"/>
            </w:pPr>
            <w:r w:rsidRPr="0253986F">
              <w:t>The additional default value assumed by UE during initial access (apart from the existing 20ms value) is 160 ms.</w:t>
            </w:r>
          </w:p>
        </w:tc>
      </w:tr>
    </w:tbl>
    <w:p w14:paraId="15C89AC7" w14:textId="2C442197" w:rsidR="0253986F" w:rsidRDefault="0253986F" w:rsidP="0253986F"/>
    <w:p w14:paraId="1FAB2760" w14:textId="0743FF63" w:rsidR="7BD7250D" w:rsidRDefault="7BD7250D" w:rsidP="0253986F">
      <w:r>
        <w:t xml:space="preserve">During the last RAN2 meeting, it has been discussed different </w:t>
      </w:r>
      <w:r w:rsidR="2A7E82C8">
        <w:t>SSB periodicities in the same frequency layer, as follows:</w:t>
      </w:r>
    </w:p>
    <w:tbl>
      <w:tblPr>
        <w:tblStyle w:val="TableGrid"/>
        <w:tblW w:w="0" w:type="auto"/>
        <w:tblInd w:w="137" w:type="dxa"/>
        <w:tblLook w:val="04A0" w:firstRow="1" w:lastRow="0" w:firstColumn="1" w:lastColumn="0" w:noHBand="0" w:noVBand="1"/>
      </w:tblPr>
      <w:tblGrid>
        <w:gridCol w:w="9494"/>
      </w:tblGrid>
      <w:tr w:rsidR="00DB4679" w14:paraId="47A13C2E" w14:textId="77777777" w:rsidTr="00DB4679">
        <w:tc>
          <w:tcPr>
            <w:tcW w:w="9494" w:type="dxa"/>
          </w:tcPr>
          <w:p w14:paraId="1298C26E" w14:textId="77777777" w:rsidR="00DB4679" w:rsidRDefault="00DB4679" w:rsidP="00DB4679">
            <w:pPr>
              <w:pStyle w:val="Agreement"/>
              <w:ind w:left="360"/>
            </w:pPr>
            <w:r>
              <w:t>RAN2 assumes it will be possible to have</w:t>
            </w:r>
            <w:r w:rsidRPr="00633DF6">
              <w:t xml:space="preserve"> different </w:t>
            </w:r>
            <w:r>
              <w:t xml:space="preserve">SSB </w:t>
            </w:r>
            <w:r w:rsidRPr="00633DF6">
              <w:t xml:space="preserve">periodicity </w:t>
            </w:r>
            <w:r>
              <w:t xml:space="preserve">among neighbour cells </w:t>
            </w:r>
            <w:r w:rsidRPr="00633DF6">
              <w:t>in the same frequency layer.</w:t>
            </w:r>
          </w:p>
          <w:p w14:paraId="5B28CF30" w14:textId="238728A7" w:rsidR="00DB4679" w:rsidRDefault="00DB4679" w:rsidP="00DB4679">
            <w:pPr>
              <w:pStyle w:val="Agreement"/>
              <w:ind w:left="360"/>
            </w:pPr>
            <w:r>
              <w:t>Can come back to this proposal</w:t>
            </w:r>
          </w:p>
        </w:tc>
      </w:tr>
    </w:tbl>
    <w:p w14:paraId="4DF37D2F" w14:textId="77777777" w:rsidR="00CF2404" w:rsidRDefault="00CF2404" w:rsidP="00CF2404"/>
    <w:p w14:paraId="5D516A50" w14:textId="10804B39" w:rsidR="00E73148" w:rsidRDefault="00B83E5C" w:rsidP="008C4795">
      <w:r>
        <w:t xml:space="preserve">Currently, the </w:t>
      </w:r>
      <w:r w:rsidR="001053BD">
        <w:t>measurement object</w:t>
      </w:r>
      <w:r w:rsidR="00E73148">
        <w:t>s in NR</w:t>
      </w:r>
      <w:r w:rsidR="008C4795">
        <w:t>-NTN</w:t>
      </w:r>
      <w:r w:rsidR="00E73148">
        <w:t xml:space="preserve"> support the </w:t>
      </w:r>
      <w:r w:rsidR="008C4795">
        <w:t xml:space="preserve">configuration of SMTC and SMTC4. The periodicity of the SMTC is defined in </w:t>
      </w:r>
      <w:r w:rsidR="002078DC">
        <w:t xml:space="preserve">SSB-MTC </w:t>
      </w:r>
      <w:r w:rsidR="002078DC" w:rsidRPr="00EF7A99">
        <w:rPr>
          <w:i/>
          <w:iCs/>
        </w:rPr>
        <w:t>periodicityAndOffset</w:t>
      </w:r>
      <w:r w:rsidR="002078DC">
        <w:t xml:space="preserve">. In SMTC4, </w:t>
      </w:r>
      <w:r w:rsidR="00B33903">
        <w:t>the</w:t>
      </w:r>
      <w:r w:rsidR="00C23D63">
        <w:t xml:space="preserve"> </w:t>
      </w:r>
      <w:r w:rsidR="00AB2E71">
        <w:t xml:space="preserve">SMTC is configured for a group of cells in </w:t>
      </w:r>
      <w:r w:rsidR="00C23D63" w:rsidRPr="00EF7A99">
        <w:rPr>
          <w:i/>
          <w:iCs/>
        </w:rPr>
        <w:t>pci-List</w:t>
      </w:r>
      <w:r w:rsidR="00C23D63">
        <w:t xml:space="preserve"> with an offset</w:t>
      </w:r>
      <w:r w:rsidR="008046EA">
        <w:t xml:space="preserve"> to compensate for the propagation delay</w:t>
      </w:r>
      <w:r w:rsidR="00AB2E71">
        <w:t xml:space="preserve"> </w:t>
      </w:r>
      <w:r w:rsidR="008046EA">
        <w:t>difference between the serving and the neighbor cells</w:t>
      </w:r>
      <w:r w:rsidR="00AB2E71">
        <w:t xml:space="preserve"> in the list.</w:t>
      </w:r>
      <w:r w:rsidR="00D82DD6">
        <w:t xml:space="preserve"> The periodicity, tough, is the same as defined in SMTC.</w:t>
      </w:r>
    </w:p>
    <w:p w14:paraId="3C3A4ADB" w14:textId="6278E044" w:rsidR="00EB67BD" w:rsidRDefault="00EB67BD" w:rsidP="00CF2404">
      <w:pPr>
        <w:rPr>
          <w:b/>
          <w:bCs/>
        </w:rPr>
      </w:pPr>
      <w:r>
        <w:rPr>
          <w:b/>
          <w:bCs/>
        </w:rPr>
        <w:t xml:space="preserve">Observation </w:t>
      </w:r>
      <w:r w:rsidR="00406A8D">
        <w:rPr>
          <w:b/>
          <w:bCs/>
        </w:rPr>
        <w:t>1</w:t>
      </w:r>
      <w:r>
        <w:rPr>
          <w:b/>
          <w:bCs/>
        </w:rPr>
        <w:t xml:space="preserve">: In </w:t>
      </w:r>
      <w:r w:rsidR="00D93740">
        <w:rPr>
          <w:b/>
          <w:bCs/>
        </w:rPr>
        <w:t xml:space="preserve">NR </w:t>
      </w:r>
      <w:r>
        <w:rPr>
          <w:b/>
          <w:bCs/>
        </w:rPr>
        <w:t>NTN, all cells within a measObject are configured with the same SMTC periodicity.</w:t>
      </w:r>
    </w:p>
    <w:p w14:paraId="118E70C2" w14:textId="4F972233" w:rsidR="008416D6" w:rsidRPr="0045358D" w:rsidRDefault="00D23913" w:rsidP="00CF2404">
      <w:r w:rsidRPr="0045358D">
        <w:t xml:space="preserve">The </w:t>
      </w:r>
      <w:r w:rsidR="00772DCE" w:rsidRPr="0045358D">
        <w:t xml:space="preserve">RAN2 </w:t>
      </w:r>
      <w:r w:rsidRPr="0045358D">
        <w:t xml:space="preserve">agreement </w:t>
      </w:r>
      <w:r w:rsidR="00772DCE" w:rsidRPr="0045358D">
        <w:t xml:space="preserve">from the last meeting </w:t>
      </w:r>
      <w:r w:rsidR="008416D6" w:rsidRPr="0045358D">
        <w:t>assumes that it will be possible to have different SSB periodicities among the neighbour cells in the same frequency layer, meaning that in the same measurement object there could be different periodicities.</w:t>
      </w:r>
      <w:r w:rsidR="00BD7F50">
        <w:t xml:space="preserve"> </w:t>
      </w:r>
      <w:r w:rsidR="00B418C5" w:rsidRPr="0045358D">
        <w:t xml:space="preserve">If different periodicities are supported, the following aspects should be investigated in RAN2: </w:t>
      </w:r>
    </w:p>
    <w:p w14:paraId="5FE0DF64" w14:textId="457DD3D5" w:rsidR="00B418C5" w:rsidRPr="0045358D" w:rsidRDefault="00B418C5" w:rsidP="0045358D">
      <w:pPr>
        <w:pStyle w:val="ListParagraph"/>
        <w:numPr>
          <w:ilvl w:val="0"/>
          <w:numId w:val="23"/>
        </w:numPr>
      </w:pPr>
      <w:r w:rsidRPr="0045358D">
        <w:t xml:space="preserve">How to configure different </w:t>
      </w:r>
      <w:r w:rsidR="003F11ED" w:rsidRPr="0045358D">
        <w:t xml:space="preserve">SMTC </w:t>
      </w:r>
      <w:r w:rsidR="008968F6">
        <w:t xml:space="preserve">or SSB </w:t>
      </w:r>
      <w:r w:rsidRPr="0045358D">
        <w:t xml:space="preserve">periodicities </w:t>
      </w:r>
      <w:r w:rsidR="003F11ED" w:rsidRPr="0045358D">
        <w:t xml:space="preserve">in the same measurement </w:t>
      </w:r>
      <w:proofErr w:type="gramStart"/>
      <w:r w:rsidR="003F11ED" w:rsidRPr="0045358D">
        <w:t>object;</w:t>
      </w:r>
      <w:proofErr w:type="gramEnd"/>
    </w:p>
    <w:p w14:paraId="6335D70A" w14:textId="103DB020" w:rsidR="003F11ED" w:rsidRPr="0045358D" w:rsidRDefault="00B459AC" w:rsidP="0045358D">
      <w:pPr>
        <w:pStyle w:val="ListParagraph"/>
        <w:numPr>
          <w:ilvl w:val="0"/>
          <w:numId w:val="23"/>
        </w:numPr>
      </w:pPr>
      <w:r>
        <w:t>Whether</w:t>
      </w:r>
      <w:r w:rsidR="00125A67" w:rsidRPr="0045358D">
        <w:t xml:space="preserve"> additional information will be </w:t>
      </w:r>
      <w:r w:rsidR="00890201" w:rsidRPr="0045358D">
        <w:t xml:space="preserve">needed </w:t>
      </w:r>
      <w:r w:rsidR="002B2BB7" w:rsidRPr="0045358D">
        <w:t>to configure the UE to do measurements with different periodicities in the same frequency layer.</w:t>
      </w:r>
    </w:p>
    <w:p w14:paraId="0F88B0DF" w14:textId="3448F025" w:rsidR="002B2BB7" w:rsidRDefault="002B2BB7" w:rsidP="005E73F6">
      <w:pPr>
        <w:pStyle w:val="ListParagraph"/>
        <w:numPr>
          <w:ilvl w:val="0"/>
          <w:numId w:val="23"/>
        </w:numPr>
      </w:pPr>
      <w:r w:rsidRPr="0045358D">
        <w:t xml:space="preserve">How </w:t>
      </w:r>
      <w:r w:rsidR="00E75628" w:rsidRPr="0045358D">
        <w:t>SMTC and SMTC4</w:t>
      </w:r>
      <w:r w:rsidR="0093001F">
        <w:t xml:space="preserve"> will interact with different configurations</w:t>
      </w:r>
      <w:r w:rsidR="00E75628" w:rsidRPr="0045358D">
        <w:t xml:space="preserve">. </w:t>
      </w:r>
    </w:p>
    <w:p w14:paraId="34D89E14" w14:textId="4A8F9445" w:rsidR="0040787F" w:rsidRPr="0045358D" w:rsidRDefault="0040787F" w:rsidP="0045358D">
      <w:pPr>
        <w:pStyle w:val="ListParagraph"/>
        <w:numPr>
          <w:ilvl w:val="0"/>
          <w:numId w:val="23"/>
        </w:numPr>
      </w:pPr>
      <w:r>
        <w:t xml:space="preserve">How this configuration will interact with Measurement Gaps. </w:t>
      </w:r>
    </w:p>
    <w:p w14:paraId="512C85A6" w14:textId="233526C8" w:rsidR="00BD7F50" w:rsidRDefault="00BD7F50" w:rsidP="00E75628">
      <w:r>
        <w:lastRenderedPageBreak/>
        <w:t xml:space="preserve">The RAN4 RRM NTN requirements are defined based on the assumption that the SMTC and SMTC4 have the same periodicity. </w:t>
      </w:r>
      <w:r w:rsidR="0040787F">
        <w:t xml:space="preserve">Therefore, </w:t>
      </w:r>
      <w:r w:rsidR="00CC4488">
        <w:t>depending on the outcome of the work, RAN2 should involve</w:t>
      </w:r>
      <w:r w:rsidR="0040787F">
        <w:t xml:space="preserve"> RAN4 </w:t>
      </w:r>
      <w:r w:rsidR="00CC4488">
        <w:t>as they need to</w:t>
      </w:r>
      <w:r w:rsidR="0040787F">
        <w:t xml:space="preserve"> </w:t>
      </w:r>
      <w:r w:rsidR="00CC4488">
        <w:t>determine</w:t>
      </w:r>
      <w:r w:rsidR="0040787F">
        <w:t xml:space="preserve"> how to support different SSB periodicities in </w:t>
      </w:r>
      <w:r w:rsidR="00890BDC">
        <w:t>the same frequency layer</w:t>
      </w:r>
      <w:r w:rsidR="005E73F6">
        <w:t xml:space="preserve">. </w:t>
      </w:r>
    </w:p>
    <w:p w14:paraId="08B1424A" w14:textId="1026BB6D" w:rsidR="00A94AC5" w:rsidRPr="00274571" w:rsidRDefault="00A94AC5" w:rsidP="00E75628">
      <w:r w:rsidRPr="00EF7A99">
        <w:rPr>
          <w:b/>
          <w:bCs/>
        </w:rPr>
        <w:t xml:space="preserve">Observation </w:t>
      </w:r>
      <w:r w:rsidR="00406A8D">
        <w:rPr>
          <w:b/>
          <w:bCs/>
        </w:rPr>
        <w:t>2</w:t>
      </w:r>
      <w:r w:rsidRPr="00EF7A99">
        <w:rPr>
          <w:b/>
          <w:bCs/>
        </w:rPr>
        <w:t xml:space="preserve">: Different SSB periodicities amongst neighbor cells in the same frequency layer may </w:t>
      </w:r>
      <w:r w:rsidR="00D94C78" w:rsidRPr="00EF7A99">
        <w:rPr>
          <w:b/>
          <w:bCs/>
        </w:rPr>
        <w:t xml:space="preserve">cause </w:t>
      </w:r>
      <w:r w:rsidR="004D1585" w:rsidRPr="00EF7A99">
        <w:rPr>
          <w:b/>
          <w:bCs/>
        </w:rPr>
        <w:t>extensive changes to legacy behaviour and require cross WG interaction.</w:t>
      </w:r>
    </w:p>
    <w:p w14:paraId="01243E17" w14:textId="23AC9D50" w:rsidR="00B178CA" w:rsidRPr="00C3143A" w:rsidRDefault="000443C8" w:rsidP="00B178CA">
      <w:pPr>
        <w:spacing w:after="120"/>
      </w:pPr>
      <w:r w:rsidRPr="00C3143A">
        <w:t xml:space="preserve">One exception to the </w:t>
      </w:r>
      <w:r w:rsidR="00A071FC" w:rsidRPr="00C3143A">
        <w:t>discussion</w:t>
      </w:r>
      <w:r w:rsidRPr="00C3143A">
        <w:t xml:space="preserve"> above is the </w:t>
      </w:r>
      <w:r w:rsidR="00781EDF" w:rsidRPr="00C3143A">
        <w:t>Earth fixed cell</w:t>
      </w:r>
      <w:r w:rsidR="00B178CA" w:rsidRPr="00C3143A">
        <w:t>s (SFC)</w:t>
      </w:r>
      <w:r w:rsidR="00781EDF" w:rsidRPr="00C3143A">
        <w:t xml:space="preserve"> case</w:t>
      </w:r>
      <w:r w:rsidR="001149C2" w:rsidRPr="00C3143A">
        <w:t xml:space="preserve">. </w:t>
      </w:r>
      <w:r w:rsidR="00B178CA" w:rsidRPr="00C3143A">
        <w:t xml:space="preserve">In case SFC the mobility events are well defined and deterministic (one set of cells will disappear at the trailing end of the satellite coverage area and a new set of cells will appear at the front end of the satellite coverage area). To optimize the mobility performance, the SSB periodicity of the candidate cell(s) may be set to a lower value </w:t>
      </w:r>
      <w:proofErr w:type="gramStart"/>
      <w:r w:rsidR="00B178CA" w:rsidRPr="00C3143A">
        <w:t>in order to</w:t>
      </w:r>
      <w:proofErr w:type="gramEnd"/>
      <w:r w:rsidR="00B178CA" w:rsidRPr="00C3143A">
        <w:t xml:space="preserve"> maximize the mobility performance during expected mobility events. </w:t>
      </w:r>
    </w:p>
    <w:p w14:paraId="2D59FE79" w14:textId="24511B6E" w:rsidR="00C3143A" w:rsidRDefault="00C3143A" w:rsidP="006721A6">
      <w:pPr>
        <w:rPr>
          <w:b/>
          <w:bCs/>
        </w:rPr>
      </w:pPr>
      <w:r>
        <w:rPr>
          <w:b/>
          <w:bCs/>
        </w:rPr>
        <w:t xml:space="preserve">Proposal 1: RAN2 to reconsider the agreement of configuring different SSBs amongst neighbouring cells in the same frequency layer due to the workload at least for the </w:t>
      </w:r>
      <w:r w:rsidR="00AD1E99">
        <w:rPr>
          <w:b/>
          <w:bCs/>
        </w:rPr>
        <w:t>Earth Moving Cells</w:t>
      </w:r>
      <w:r>
        <w:rPr>
          <w:b/>
          <w:bCs/>
        </w:rPr>
        <w:t>.</w:t>
      </w:r>
    </w:p>
    <w:p w14:paraId="4069E7F4" w14:textId="4E094DE1" w:rsidR="00781EDF" w:rsidRPr="00530894" w:rsidRDefault="006721A6" w:rsidP="00CF2404">
      <w:pPr>
        <w:rPr>
          <w:b/>
          <w:bCs/>
        </w:rPr>
      </w:pPr>
      <w:r w:rsidRPr="00C3143A">
        <w:rPr>
          <w:b/>
          <w:bCs/>
        </w:rPr>
        <w:t xml:space="preserve">Proposal </w:t>
      </w:r>
      <w:r w:rsidR="00530894">
        <w:rPr>
          <w:b/>
          <w:bCs/>
        </w:rPr>
        <w:t>2</w:t>
      </w:r>
      <w:r w:rsidRPr="00C3143A">
        <w:rPr>
          <w:b/>
          <w:bCs/>
        </w:rPr>
        <w:t xml:space="preserve">: </w:t>
      </w:r>
      <w:r w:rsidR="00596249" w:rsidRPr="00C3143A">
        <w:rPr>
          <w:b/>
        </w:rPr>
        <w:t>RAN2 to study the possibility of setting the SSB periodicity to a lower value during mobility events in case of Earth Fixed Cells.</w:t>
      </w:r>
    </w:p>
    <w:p w14:paraId="26685F09" w14:textId="5425E649" w:rsidR="002C7E47" w:rsidRDefault="00E64CAE" w:rsidP="00A42990">
      <w:pPr>
        <w:pStyle w:val="Heading3"/>
        <w:ind w:left="0" w:firstLine="0"/>
      </w:pPr>
      <w:r>
        <w:t>2.2</w:t>
      </w:r>
      <w:r w:rsidR="00E815D7">
        <w:tab/>
      </w:r>
      <w:r w:rsidR="006809AD">
        <w:t xml:space="preserve">Availability of neighbour cells in the same frequency layer </w:t>
      </w:r>
    </w:p>
    <w:p w14:paraId="6B5B0047" w14:textId="1EA2F4E0" w:rsidR="00E73996" w:rsidRDefault="00E73996" w:rsidP="00E73996">
      <w:pPr>
        <w:rPr>
          <w:b/>
          <w:bCs/>
        </w:rPr>
      </w:pPr>
      <w:r>
        <w:t xml:space="preserve">Apart from the periodicity discussion, RAN2 has also discussed the scenario in which the active neighbour cells in the same frequency are </w:t>
      </w:r>
      <w:r w:rsidR="00F34398">
        <w:t>not simultaneously available</w:t>
      </w:r>
      <w:r>
        <w:t xml:space="preserve">, as follows: </w:t>
      </w:r>
    </w:p>
    <w:tbl>
      <w:tblPr>
        <w:tblStyle w:val="TableGrid"/>
        <w:tblW w:w="0" w:type="auto"/>
        <w:tblLook w:val="04A0" w:firstRow="1" w:lastRow="0" w:firstColumn="1" w:lastColumn="0" w:noHBand="0" w:noVBand="1"/>
      </w:tblPr>
      <w:tblGrid>
        <w:gridCol w:w="9631"/>
      </w:tblGrid>
      <w:tr w:rsidR="00E73996" w14:paraId="0DF1763E" w14:textId="77777777">
        <w:tc>
          <w:tcPr>
            <w:tcW w:w="9631" w:type="dxa"/>
          </w:tcPr>
          <w:p w14:paraId="1D268BCC" w14:textId="77777777" w:rsidR="00E73996" w:rsidRDefault="00E73996">
            <w:pPr>
              <w:pStyle w:val="Agreement"/>
              <w:ind w:left="360"/>
            </w:pPr>
            <w:r>
              <w:t>The number of SMTC/gaps a UE needs to consider at any time will not be increased further</w:t>
            </w:r>
          </w:p>
          <w:p w14:paraId="6ACDC914" w14:textId="77777777" w:rsidR="00E73996" w:rsidRDefault="00E73996">
            <w:pPr>
              <w:pStyle w:val="Agreement"/>
              <w:ind w:left="360"/>
            </w:pPr>
            <w:r>
              <w:t>RAN2 observes that if the cells active simultaneously are scattered, (for the case of intra-frequency neighbouring cells), the SSBs of surrounding neighbour cells may be transmitted at different times and existing SMTC mechanism may not be enough.</w:t>
            </w:r>
          </w:p>
          <w:p w14:paraId="73A7F867" w14:textId="77777777" w:rsidR="00E73996" w:rsidRPr="000C17AF" w:rsidRDefault="00E73996">
            <w:pPr>
              <w:pStyle w:val="Doc-text2"/>
            </w:pPr>
          </w:p>
        </w:tc>
      </w:tr>
    </w:tbl>
    <w:p w14:paraId="398003ED" w14:textId="77777777" w:rsidR="00E73996" w:rsidRDefault="00E73996" w:rsidP="002C7E47"/>
    <w:p w14:paraId="7E78FF8B" w14:textId="377909F6" w:rsidR="00DC342F" w:rsidRDefault="002C7E47" w:rsidP="002C7E47">
      <w:r>
        <w:t>In any of the RAN2 scenarios discussed with multiple SMTCs in the same frequency layer</w:t>
      </w:r>
      <w:r w:rsidRPr="00E82A55">
        <w:t>, it is important to clarify whether the pattern of availability of neighbor cells, in terms of periodicity and offset, is</w:t>
      </w:r>
      <w:r w:rsidR="00BD7ECA">
        <w:t xml:space="preserve"> regular and</w:t>
      </w:r>
      <w:r w:rsidRPr="00E82A55">
        <w:t xml:space="preserve"> known at the UE</w:t>
      </w:r>
      <w:r>
        <w:t xml:space="preserve">. </w:t>
      </w:r>
    </w:p>
    <w:p w14:paraId="0D12AE78" w14:textId="6C990AA4" w:rsidR="002C7E47" w:rsidRDefault="00363690" w:rsidP="002C7E47">
      <w:r>
        <w:t>In our view, t</w:t>
      </w:r>
      <w:r w:rsidR="002C7E47">
        <w:t xml:space="preserve">here are two cases to consider: </w:t>
      </w:r>
    </w:p>
    <w:p w14:paraId="13CD615D" w14:textId="114BA48E" w:rsidR="00D36742" w:rsidRDefault="00D36742" w:rsidP="00406A8D">
      <w:pPr>
        <w:pStyle w:val="ListParagraph"/>
        <w:numPr>
          <w:ilvl w:val="0"/>
          <w:numId w:val="26"/>
        </w:numPr>
      </w:pPr>
      <w:r>
        <w:t>Uncoordinated</w:t>
      </w:r>
      <w:r w:rsidR="002F1A8F">
        <w:t xml:space="preserve">: </w:t>
      </w:r>
      <w:r w:rsidR="00F52169">
        <w:t xml:space="preserve">the neighbor cells </w:t>
      </w:r>
      <w:r w:rsidR="0073023B">
        <w:t>are not available for measurement</w:t>
      </w:r>
      <w:r w:rsidR="007E48F5">
        <w:t>s</w:t>
      </w:r>
      <w:r w:rsidR="0073023B">
        <w:t xml:space="preserve"> in a coordinated manner</w:t>
      </w:r>
      <w:r w:rsidR="00BE4E94">
        <w:t xml:space="preserve">, i.e. the time offsets </w:t>
      </w:r>
      <w:r w:rsidR="00170DED">
        <w:t xml:space="preserve">between the availability of the </w:t>
      </w:r>
      <w:r w:rsidR="007268C4">
        <w:t xml:space="preserve">SSBs </w:t>
      </w:r>
      <w:r w:rsidR="00E93202">
        <w:t xml:space="preserve">from different neighbour cells and the serving cell is not regular. </w:t>
      </w:r>
      <w:r w:rsidR="00EF5018">
        <w:t xml:space="preserve">For example, </w:t>
      </w:r>
      <w:r w:rsidR="00F02609">
        <w:t xml:space="preserve">one cell has a time offset of 10ms, and the other cell a time offset of 20ms taking the serving cell </w:t>
      </w:r>
      <w:r w:rsidR="00AF4A87">
        <w:t xml:space="preserve">SSB </w:t>
      </w:r>
      <w:r w:rsidR="00F02609">
        <w:t>as reference.</w:t>
      </w:r>
    </w:p>
    <w:p w14:paraId="1C2356EE" w14:textId="75BC398B" w:rsidR="00D36742" w:rsidRDefault="00D36742" w:rsidP="00406A8D">
      <w:pPr>
        <w:pStyle w:val="ListParagraph"/>
        <w:numPr>
          <w:ilvl w:val="0"/>
          <w:numId w:val="26"/>
        </w:numPr>
      </w:pPr>
      <w:r>
        <w:t>Coordinated</w:t>
      </w:r>
      <w:r w:rsidR="00BE3224">
        <w:t xml:space="preserve">: the neighbor cells are available for measurements in a coordinated manner, i.e. the </w:t>
      </w:r>
      <w:r w:rsidR="009F4A00">
        <w:t>neighbor cell SSBs are available</w:t>
      </w:r>
      <w:r w:rsidR="000F3068">
        <w:t xml:space="preserve"> with a </w:t>
      </w:r>
      <w:r w:rsidR="00942953">
        <w:t>regular</w:t>
      </w:r>
      <w:r w:rsidR="000F3068">
        <w:t xml:space="preserve"> offset,</w:t>
      </w:r>
      <w:r w:rsidR="0020567C">
        <w:t xml:space="preserve"> for example 20 ms</w:t>
      </w:r>
      <w:r w:rsidR="000E0363">
        <w:t>.</w:t>
      </w:r>
    </w:p>
    <w:p w14:paraId="7CED6DBA" w14:textId="5E36432D" w:rsidR="001679C3" w:rsidRDefault="001679C3" w:rsidP="00E63FB0">
      <w:pPr>
        <w:pStyle w:val="Heading3"/>
      </w:pPr>
      <w:r>
        <w:t>2.2.1</w:t>
      </w:r>
      <w:r>
        <w:tab/>
      </w:r>
      <w:r w:rsidR="00540393">
        <w:t xml:space="preserve">Uncoordinated </w:t>
      </w:r>
      <w:r w:rsidR="000A7139">
        <w:t xml:space="preserve">availability </w:t>
      </w:r>
      <w:r w:rsidR="00C00EFB">
        <w:t xml:space="preserve">with </w:t>
      </w:r>
      <w:r w:rsidR="0022470E">
        <w:t>2 or more SMTC</w:t>
      </w:r>
    </w:p>
    <w:p w14:paraId="28A233F8" w14:textId="77777777" w:rsidR="001679C3" w:rsidRDefault="001679C3" w:rsidP="001679C3"/>
    <w:p w14:paraId="4B375415" w14:textId="7E1B9729" w:rsidR="002C286E" w:rsidRDefault="001679C3" w:rsidP="002E3BF8">
      <w:r>
        <w:t xml:space="preserve">When performing measurements in NR NTN, the UE assumes that the neighbour cells SSBs in the same frequency layer are available for measurement within each SMTC occasion. </w:t>
      </w:r>
      <w:r w:rsidR="00683AEE">
        <w:t xml:space="preserve">When the neighbor cells are not available at the same time, this creates an offset between the SSBs. </w:t>
      </w:r>
      <w:r w:rsidR="0008035A">
        <w:t xml:space="preserve">We refer to the </w:t>
      </w:r>
      <w:proofErr w:type="gramStart"/>
      <w:r w:rsidR="0008035A">
        <w:t xml:space="preserve">scenario </w:t>
      </w:r>
      <w:r>
        <w:t xml:space="preserve"> in</w:t>
      </w:r>
      <w:proofErr w:type="gramEnd"/>
      <w:r>
        <w:t xml:space="preserve"> which the </w:t>
      </w:r>
      <w:r w:rsidR="0008035A">
        <w:t xml:space="preserve">availability of the </w:t>
      </w:r>
      <w:r>
        <w:t xml:space="preserve">neighbour cells </w:t>
      </w:r>
      <w:r w:rsidR="0008035A">
        <w:t>is not regular, as an</w:t>
      </w:r>
      <w:r w:rsidR="006A0349">
        <w:t xml:space="preserve"> uncoordinated</w:t>
      </w:r>
      <w:r>
        <w:t xml:space="preserve"> </w:t>
      </w:r>
      <w:r w:rsidR="0008035A">
        <w:t xml:space="preserve">scenario. </w:t>
      </w:r>
      <w:r w:rsidR="00A6520C">
        <w:t>In our view, this is similar to the cells having different propagation offsets</w:t>
      </w:r>
      <w:proofErr w:type="gramStart"/>
      <w:r w:rsidR="00F41D44">
        <w:t xml:space="preserve">. </w:t>
      </w:r>
      <w:r>
        <w:t>.</w:t>
      </w:r>
      <w:proofErr w:type="gramEnd"/>
      <w:r>
        <w:t xml:space="preserve"> </w:t>
      </w:r>
      <w:r w:rsidR="00071ACC">
        <w:t xml:space="preserve">In principle, </w:t>
      </w:r>
      <w:r w:rsidR="00292EE0">
        <w:t>the NTN UE can be configured with different offsets in SMTC4</w:t>
      </w:r>
      <w:r w:rsidR="00B53BDD">
        <w:t>, as in Figure 1.</w:t>
      </w:r>
      <w:r w:rsidR="0096263C">
        <w:t xml:space="preserve"> </w:t>
      </w:r>
      <w:r w:rsidR="00B53BDD">
        <w:t xml:space="preserve"> In Figure 1, </w:t>
      </w:r>
      <w:r w:rsidR="0022122F">
        <w:t>the SSBs in different color represent the intra-frequency neighbour cells.</w:t>
      </w:r>
      <w:r w:rsidR="0020017F">
        <w:t xml:space="preserve"> Multiple SMTCs with different offsets are shown. </w:t>
      </w:r>
      <w:r w:rsidR="002C286E">
        <w:t xml:space="preserve">Figure 2 shows how this SMTC configuration could be applicable to different neighbor cells. </w:t>
      </w:r>
    </w:p>
    <w:p w14:paraId="2A6E7FE2" w14:textId="345ED066" w:rsidR="002E3BF8" w:rsidRDefault="002C286E" w:rsidP="002E3BF8">
      <w:r>
        <w:t xml:space="preserve">In </w:t>
      </w:r>
      <w:r w:rsidR="00225417">
        <w:t>legacy</w:t>
      </w:r>
      <w:r>
        <w:t xml:space="preserve">, a UE </w:t>
      </w:r>
      <w:r w:rsidR="00051B75">
        <w:t>may</w:t>
      </w:r>
      <w:r>
        <w:t xml:space="preserve"> be configured with up to 4 different offsets in SMTC4. </w:t>
      </w:r>
      <w:r w:rsidR="00604361">
        <w:t xml:space="preserve">However, </w:t>
      </w:r>
      <w:r w:rsidR="002E3BF8">
        <w:t xml:space="preserve">mandatorily, the UE is only required to be capable of measuring across </w:t>
      </w:r>
      <w:r w:rsidR="002E3BF8" w:rsidRPr="00406A8D">
        <w:rPr>
          <w:u w:val="single"/>
        </w:rPr>
        <w:t>two SMTCs</w:t>
      </w:r>
      <w:r w:rsidR="002E3BF8">
        <w:t>, with four being optionally supported. If most UEs implement only two SMTCs, the feature will be significantly hampered by this limitation, unless there are means for the UE to downselect the applicable SMTCs</w:t>
      </w:r>
      <w:r w:rsidR="00051B75">
        <w:t xml:space="preserve">, even </w:t>
      </w:r>
      <w:r w:rsidR="00077C6C">
        <w:t>when using the</w:t>
      </w:r>
      <w:r w:rsidR="002A4F00">
        <w:t xml:space="preserve"> </w:t>
      </w:r>
      <w:r w:rsidR="00733135">
        <w:t xml:space="preserve">legacy </w:t>
      </w:r>
      <w:r w:rsidR="00077C6C">
        <w:t>4 SMTC</w:t>
      </w:r>
      <w:r w:rsidR="002E3BF8">
        <w:t>.</w:t>
      </w:r>
    </w:p>
    <w:p w14:paraId="0D99A39A" w14:textId="1D1A61E7" w:rsidR="00FB0B3F" w:rsidRDefault="00FB0B3F" w:rsidP="00FB0B3F">
      <w:pPr>
        <w:keepNext/>
        <w:jc w:val="cent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6"/>
        <w:gridCol w:w="3635"/>
      </w:tblGrid>
      <w:tr w:rsidR="007A27AE" w14:paraId="05CE1AB6" w14:textId="77777777" w:rsidTr="007A27AE">
        <w:tc>
          <w:tcPr>
            <w:tcW w:w="4815" w:type="dxa"/>
          </w:tcPr>
          <w:p w14:paraId="72DC8113" w14:textId="77777777" w:rsidR="00F90A1C" w:rsidRDefault="009550B1" w:rsidP="00F90A1C">
            <w:pPr>
              <w:keepNext/>
              <w:jc w:val="center"/>
            </w:pPr>
            <w:r>
              <w:rPr>
                <w:noProof/>
              </w:rPr>
              <w:drawing>
                <wp:inline distT="0" distB="0" distL="0" distR="0" wp14:anchorId="5B112756" wp14:editId="3C1EED40">
                  <wp:extent cx="3672230" cy="2081603"/>
                  <wp:effectExtent l="0" t="0" r="4445" b="0"/>
                  <wp:docPr id="225767493"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767493" name="Picture 1" descr="A diagram of a diagram&#10;&#10;AI-generated content may be incorrect."/>
                          <pic:cNvPicPr/>
                        </pic:nvPicPr>
                        <pic:blipFill>
                          <a:blip r:embed="rId13"/>
                          <a:stretch>
                            <a:fillRect/>
                          </a:stretch>
                        </pic:blipFill>
                        <pic:spPr>
                          <a:xfrm>
                            <a:off x="0" y="0"/>
                            <a:ext cx="3688459" cy="2090802"/>
                          </a:xfrm>
                          <a:prstGeom prst="rect">
                            <a:avLst/>
                          </a:prstGeom>
                        </pic:spPr>
                      </pic:pic>
                    </a:graphicData>
                  </a:graphic>
                </wp:inline>
              </w:drawing>
            </w:r>
          </w:p>
          <w:p w14:paraId="362BCAFA" w14:textId="34AA5121" w:rsidR="009550B1" w:rsidRDefault="00F90A1C" w:rsidP="00406A8D">
            <w:pPr>
              <w:pStyle w:val="Caption"/>
              <w:jc w:val="center"/>
            </w:pPr>
            <w:bookmarkStart w:id="0" w:name="_Ref193912971"/>
            <w:r>
              <w:t xml:space="preserve">Figure </w:t>
            </w:r>
            <w:r>
              <w:fldChar w:fldCharType="begin"/>
            </w:r>
            <w:r>
              <w:instrText xml:space="preserve"> SEQ Figure \* ARABIC </w:instrText>
            </w:r>
            <w:r>
              <w:fldChar w:fldCharType="separate"/>
            </w:r>
            <w:r w:rsidR="000E7838">
              <w:rPr>
                <w:noProof/>
              </w:rPr>
              <w:t>1</w:t>
            </w:r>
            <w:r>
              <w:fldChar w:fldCharType="end"/>
            </w:r>
            <w:bookmarkEnd w:id="0"/>
            <w:r>
              <w:t xml:space="preserve"> - Example of 4 configured SMTCs, in time</w:t>
            </w:r>
            <w:r w:rsidR="00273154">
              <w:t xml:space="preserve"> domain</w:t>
            </w:r>
          </w:p>
        </w:tc>
        <w:tc>
          <w:tcPr>
            <w:tcW w:w="4816" w:type="dxa"/>
          </w:tcPr>
          <w:p w14:paraId="4350962D" w14:textId="77777777" w:rsidR="000E7838" w:rsidRDefault="00F90A1C" w:rsidP="000E7838">
            <w:pPr>
              <w:keepNext/>
              <w:jc w:val="center"/>
            </w:pPr>
            <w:r>
              <w:rPr>
                <w:noProof/>
              </w:rPr>
              <w:drawing>
                <wp:inline distT="0" distB="0" distL="0" distR="0" wp14:anchorId="42F7443E" wp14:editId="7D3C70B8">
                  <wp:extent cx="1894637" cy="2102268"/>
                  <wp:effectExtent l="0" t="0" r="0" b="0"/>
                  <wp:docPr id="8479988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7998843" name=""/>
                          <pic:cNvPicPr/>
                        </pic:nvPicPr>
                        <pic:blipFill>
                          <a:blip r:embed="rId14"/>
                          <a:stretch>
                            <a:fillRect/>
                          </a:stretch>
                        </pic:blipFill>
                        <pic:spPr>
                          <a:xfrm>
                            <a:off x="0" y="0"/>
                            <a:ext cx="1914681" cy="2124508"/>
                          </a:xfrm>
                          <a:prstGeom prst="rect">
                            <a:avLst/>
                          </a:prstGeom>
                        </pic:spPr>
                      </pic:pic>
                    </a:graphicData>
                  </a:graphic>
                </wp:inline>
              </w:drawing>
            </w:r>
          </w:p>
          <w:p w14:paraId="4916ABEA" w14:textId="5AB639C6" w:rsidR="009550B1" w:rsidRDefault="000E7838" w:rsidP="00406A8D">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 Example of 4 SMTCs in space</w:t>
            </w:r>
          </w:p>
        </w:tc>
      </w:tr>
    </w:tbl>
    <w:p w14:paraId="1BDA6F7E" w14:textId="1493C76C" w:rsidR="001679C3" w:rsidRDefault="00E66852" w:rsidP="001679C3">
      <w:r>
        <w:t>A</w:t>
      </w:r>
      <w:r w:rsidR="001679C3">
        <w:t xml:space="preserve">ccording to RAN4 specifications, when a UE is configured with more SMTCs than it supports, measurement requirements are not applicable. The reason for this is that RAN4 considered that if the UE had to select a subset of measurements at will, it would not be possible to evaluate which SMTCs the UE had selected to check if the measurements were completed in time. Besides, if the UE decides to split the measurement occasions across multiple SMTC, the total time to measure would be much </w:t>
      </w:r>
      <w:r w:rsidR="00DE5193">
        <w:t>longer</w:t>
      </w:r>
      <w:r w:rsidR="001679C3">
        <w:t xml:space="preserve">.  </w:t>
      </w:r>
    </w:p>
    <w:tbl>
      <w:tblPr>
        <w:tblStyle w:val="TableGrid"/>
        <w:tblW w:w="0" w:type="auto"/>
        <w:tblLook w:val="04A0" w:firstRow="1" w:lastRow="0" w:firstColumn="1" w:lastColumn="0" w:noHBand="0" w:noVBand="1"/>
      </w:tblPr>
      <w:tblGrid>
        <w:gridCol w:w="9631"/>
      </w:tblGrid>
      <w:tr w:rsidR="001679C3" w14:paraId="4302EC32" w14:textId="77777777">
        <w:tc>
          <w:tcPr>
            <w:tcW w:w="9631" w:type="dxa"/>
          </w:tcPr>
          <w:p w14:paraId="25F3ECE6" w14:textId="77777777" w:rsidR="001679C3" w:rsidRPr="00B05D3A" w:rsidRDefault="001679C3">
            <w:pPr>
              <w:rPr>
                <w:b/>
                <w:bCs/>
                <w:u w:val="single"/>
              </w:rPr>
            </w:pPr>
            <w:r w:rsidRPr="00B05D3A">
              <w:rPr>
                <w:b/>
                <w:bCs/>
                <w:u w:val="single"/>
              </w:rPr>
              <w:t>From TS 38.133, Clause 9.2C.1:</w:t>
            </w:r>
          </w:p>
          <w:p w14:paraId="19D3E8E8" w14:textId="77777777" w:rsidR="001679C3" w:rsidRPr="00CF0E2F" w:rsidRDefault="001679C3">
            <w:r w:rsidRPr="00CF0E2F">
              <w:t xml:space="preserve">SSB based measurements are configured along with one or more measurement timing configuration(s) (SMTC(s)) which provides periodicity, duration and offset information on a window of up to 5 ms where the measurements are to be performed. For intra-frequency connected mode measurements, </w:t>
            </w:r>
          </w:p>
          <w:p w14:paraId="719ACC58" w14:textId="77777777" w:rsidR="001679C3" w:rsidRPr="00CF0E2F" w:rsidRDefault="001679C3">
            <w:r w:rsidRPr="00CF0E2F">
              <w:t>-</w:t>
            </w:r>
            <w:r w:rsidRPr="00CF0E2F">
              <w:tab/>
              <w:t xml:space="preserve">when </w:t>
            </w:r>
            <w:r w:rsidRPr="00CF0E2F">
              <w:rPr>
                <w:i/>
              </w:rPr>
              <w:t>SSB-MTC4List-r17</w:t>
            </w:r>
            <w:r w:rsidRPr="00CF0E2F">
              <w:t xml:space="preserve"> is not configured, up to two measurement window periodicities may be configured with </w:t>
            </w:r>
            <w:r w:rsidRPr="00CF0E2F">
              <w:rPr>
                <w:i/>
              </w:rPr>
              <w:t>SSB-MTC</w:t>
            </w:r>
            <w:r w:rsidRPr="00CF0E2F">
              <w:t xml:space="preserve"> and </w:t>
            </w:r>
            <w:r w:rsidRPr="00CF0E2F">
              <w:rPr>
                <w:i/>
              </w:rPr>
              <w:t>SSB-MTC2</w:t>
            </w:r>
          </w:p>
          <w:p w14:paraId="5A9E316C" w14:textId="77777777" w:rsidR="001679C3" w:rsidRPr="00CF0E2F" w:rsidRDefault="001679C3">
            <w:r w:rsidRPr="00CF0E2F">
              <w:t>-</w:t>
            </w:r>
            <w:r w:rsidRPr="00CF0E2F">
              <w:tab/>
            </w:r>
            <w:r w:rsidRPr="00F26008">
              <w:t xml:space="preserve">when </w:t>
            </w:r>
            <w:r w:rsidRPr="00CF0E2F">
              <w:rPr>
                <w:i/>
              </w:rPr>
              <w:t>SSB-MTC4List-r17</w:t>
            </w:r>
            <w:r w:rsidRPr="00F26008">
              <w:t xml:space="preserve"> is configured, multiple measurement window offsets may be configured with </w:t>
            </w:r>
            <w:r w:rsidRPr="00CF0E2F">
              <w:rPr>
                <w:i/>
              </w:rPr>
              <w:t>SSB-MTC</w:t>
            </w:r>
            <w:r w:rsidRPr="00F26008">
              <w:t xml:space="preserve"> and </w:t>
            </w:r>
            <w:r w:rsidRPr="00CF0E2F">
              <w:rPr>
                <w:i/>
              </w:rPr>
              <w:t>SSB-MTC4List-r17</w:t>
            </w:r>
            <w:r w:rsidRPr="00F26008">
              <w:t xml:space="preserve">, </w:t>
            </w:r>
            <w:r w:rsidRPr="00B05D3A">
              <w:rPr>
                <w:highlight w:val="yellow"/>
              </w:rPr>
              <w:t xml:space="preserve">and the requirements in clause 9.2C apply provided that the total number of measurement window offsets does not exceed the UE capability </w:t>
            </w:r>
            <w:r w:rsidRPr="00B05D3A">
              <w:rPr>
                <w:i/>
                <w:highlight w:val="yellow"/>
              </w:rPr>
              <w:t>parallelSMTC-r17</w:t>
            </w:r>
          </w:p>
          <w:p w14:paraId="01DAD3FB" w14:textId="77777777" w:rsidR="001679C3" w:rsidRDefault="001679C3"/>
        </w:tc>
      </w:tr>
    </w:tbl>
    <w:p w14:paraId="622C13DB" w14:textId="77777777" w:rsidR="001679C3" w:rsidRDefault="001679C3" w:rsidP="001679C3">
      <w:r>
        <w:t xml:space="preserve"> </w:t>
      </w:r>
    </w:p>
    <w:p w14:paraId="0DD9A32E" w14:textId="3DC1F180" w:rsidR="001679C3" w:rsidRPr="00B05D3A" w:rsidRDefault="001679C3" w:rsidP="001679C3">
      <w:pPr>
        <w:rPr>
          <w:b/>
          <w:bCs/>
        </w:rPr>
      </w:pPr>
      <w:r w:rsidRPr="00B05D3A">
        <w:rPr>
          <w:b/>
          <w:bCs/>
        </w:rPr>
        <w:t xml:space="preserve">Observation </w:t>
      </w:r>
      <w:r w:rsidR="00406A8D">
        <w:rPr>
          <w:b/>
          <w:bCs/>
        </w:rPr>
        <w:t>3</w:t>
      </w:r>
      <w:r w:rsidRPr="00B05D3A">
        <w:rPr>
          <w:b/>
          <w:bCs/>
        </w:rPr>
        <w:t xml:space="preserve">: In legacy operation, </w:t>
      </w:r>
      <w:r w:rsidR="00733135">
        <w:rPr>
          <w:b/>
          <w:bCs/>
        </w:rPr>
        <w:t xml:space="preserve">even </w:t>
      </w:r>
      <w:r w:rsidRPr="00B05D3A">
        <w:rPr>
          <w:b/>
          <w:bCs/>
        </w:rPr>
        <w:t>4 SMTCs invalidate measurements requirements.</w:t>
      </w:r>
    </w:p>
    <w:p w14:paraId="7155C3A5" w14:textId="61E52B01" w:rsidR="001679C3" w:rsidRDefault="0010076E" w:rsidP="001679C3">
      <w:r>
        <w:t>Even i</w:t>
      </w:r>
      <w:r w:rsidR="001679C3">
        <w:t>f RAN2 decides to have 4 SMTCs as default for the DL CE feature, RAN4 will need to adapt changes to 38.133 to ensure applicable requirements. Since one reason that requirements not being applied in case of more than 2 SMTC windows is that it will be difficult to determine which SMTC was measured in, in case only a subset was selected, RAN2 needs to define such requirements.</w:t>
      </w:r>
    </w:p>
    <w:p w14:paraId="6DFF3697" w14:textId="77777777" w:rsidR="00406A8D" w:rsidRDefault="00CF6DCC" w:rsidP="001679C3">
      <w:pPr>
        <w:rPr>
          <w:b/>
          <w:bCs/>
        </w:rPr>
      </w:pPr>
      <w:r w:rsidRPr="00406A8D">
        <w:rPr>
          <w:b/>
          <w:bCs/>
        </w:rPr>
        <w:t xml:space="preserve">Observation </w:t>
      </w:r>
      <w:r w:rsidR="00406A8D">
        <w:rPr>
          <w:b/>
          <w:bCs/>
        </w:rPr>
        <w:t>4</w:t>
      </w:r>
      <w:r w:rsidRPr="00406A8D">
        <w:rPr>
          <w:b/>
          <w:bCs/>
        </w:rPr>
        <w:t xml:space="preserve">: Even with 4 SMTCs configured as legacy, </w:t>
      </w:r>
      <w:r w:rsidR="00F10160" w:rsidRPr="00406A8D">
        <w:rPr>
          <w:b/>
          <w:bCs/>
        </w:rPr>
        <w:t xml:space="preserve">RAN4 will need to adapt changes to legacy </w:t>
      </w:r>
      <w:r w:rsidR="00E930D8" w:rsidRPr="00406A8D">
        <w:rPr>
          <w:b/>
          <w:bCs/>
        </w:rPr>
        <w:t>requirements.</w:t>
      </w:r>
    </w:p>
    <w:p w14:paraId="3B7176AE" w14:textId="31AA5157" w:rsidR="0056382F" w:rsidRDefault="0056382F" w:rsidP="001679C3">
      <w:r w:rsidRPr="00406A8D">
        <w:t>A</w:t>
      </w:r>
      <w:r>
        <w:t xml:space="preserve">lthough our understanding is, that the RAN4 issue is not technically a blocking issue, but rather a question of fairness within the measurement reporting, we believe that having RAN2 to define </w:t>
      </w:r>
      <w:r w:rsidR="00650F8A">
        <w:t xml:space="preserve">explicitly an expected behaviour may </w:t>
      </w:r>
      <w:r w:rsidR="00D67338">
        <w:t xml:space="preserve">be enough to allow RAN4 to allow the </w:t>
      </w:r>
      <w:r w:rsidR="0095426E">
        <w:t>requirements to be applicable even if 4, or more SMTCs are applicable.</w:t>
      </w:r>
    </w:p>
    <w:p w14:paraId="023F8A08" w14:textId="13A2AF39" w:rsidR="001679C3" w:rsidRPr="00B05D3A" w:rsidRDefault="001679C3" w:rsidP="001679C3">
      <w:pPr>
        <w:rPr>
          <w:b/>
          <w:bCs/>
        </w:rPr>
      </w:pPr>
      <w:r>
        <w:rPr>
          <w:b/>
          <w:bCs/>
        </w:rPr>
        <w:t>Proposal</w:t>
      </w:r>
      <w:r w:rsidRPr="00B05D3A">
        <w:rPr>
          <w:b/>
          <w:bCs/>
        </w:rPr>
        <w:t xml:space="preserve"> </w:t>
      </w:r>
      <w:r w:rsidR="00530894">
        <w:rPr>
          <w:b/>
          <w:bCs/>
        </w:rPr>
        <w:t>3</w:t>
      </w:r>
      <w:r w:rsidRPr="00B05D3A">
        <w:rPr>
          <w:b/>
          <w:bCs/>
        </w:rPr>
        <w:t>: RAN2 to define explicitly which SMTCs are required to be measured in case 4, or more SMTCs are configured.</w:t>
      </w:r>
    </w:p>
    <w:p w14:paraId="5A9EF666" w14:textId="77777777" w:rsidR="001679C3" w:rsidRDefault="001679C3" w:rsidP="001679C3">
      <w:r>
        <w:t xml:space="preserve">In the last meeting, it has been agreed that the number of SMTC/gaps a UE needs to consider at any time will not be increased further. This doesn’t prevent the UE to be configured with more SMTCs and to select a given number at any time. Our understanding is that there are two options on the </w:t>
      </w:r>
      <w:proofErr w:type="gramStart"/>
      <w:r>
        <w:t>table;</w:t>
      </w:r>
      <w:proofErr w:type="gramEnd"/>
    </w:p>
    <w:p w14:paraId="1F5F8851" w14:textId="77777777" w:rsidR="001679C3" w:rsidRDefault="001679C3" w:rsidP="001679C3">
      <w:pPr>
        <w:pStyle w:val="ListParagraph"/>
        <w:numPr>
          <w:ilvl w:val="0"/>
          <w:numId w:val="25"/>
        </w:numPr>
      </w:pPr>
      <w:r>
        <w:t>Location based solution where the UE is configured with the different SMTCs for different locations and is then expected to consider any of these based on its own location</w:t>
      </w:r>
    </w:p>
    <w:p w14:paraId="2EFD4D10" w14:textId="77777777" w:rsidR="001679C3" w:rsidRDefault="001679C3" w:rsidP="001679C3">
      <w:pPr>
        <w:pStyle w:val="ListParagraph"/>
        <w:numPr>
          <w:ilvl w:val="0"/>
          <w:numId w:val="25"/>
        </w:numPr>
      </w:pPr>
      <w:r>
        <w:lastRenderedPageBreak/>
        <w:t>Based on UE measurements i.e, the UE is configured with a set of UE SMTCs and selects the one with the highest RSRP</w:t>
      </w:r>
    </w:p>
    <w:p w14:paraId="46823D26" w14:textId="69B0A2A8" w:rsidR="001679C3" w:rsidRDefault="001679C3" w:rsidP="001679C3">
      <w:r>
        <w:t xml:space="preserve">Both the solutions above will work, but the </w:t>
      </w:r>
      <w:proofErr w:type="gramStart"/>
      <w:r>
        <w:t>location based</w:t>
      </w:r>
      <w:proofErr w:type="gramEnd"/>
      <w:r>
        <w:t xml:space="preserve"> reporting would apply a lot of overhead for the signalling, albeit with a more strict boundary of the </w:t>
      </w:r>
      <w:r w:rsidR="004E5EC2">
        <w:t xml:space="preserve">measurement </w:t>
      </w:r>
      <w:r>
        <w:t xml:space="preserve">configuration. Therefore, allowing the UE to determine the SMTC subset based on RSRP would be preferable. Furthermore, RAN2 should </w:t>
      </w:r>
      <w:proofErr w:type="gramStart"/>
      <w:r>
        <w:t>look into</w:t>
      </w:r>
      <w:proofErr w:type="gramEnd"/>
      <w:r>
        <w:t xml:space="preserve"> whether the UE should signal explicitly which SMTC is used for the given measurement.</w:t>
      </w:r>
    </w:p>
    <w:p w14:paraId="25C56C54" w14:textId="2EB757B7" w:rsidR="00E22F3C" w:rsidRDefault="001679C3" w:rsidP="002C7E47">
      <w:pPr>
        <w:rPr>
          <w:b/>
          <w:bCs/>
        </w:rPr>
      </w:pPr>
      <w:r w:rsidRPr="00B05D3A">
        <w:rPr>
          <w:b/>
          <w:bCs/>
        </w:rPr>
        <w:t xml:space="preserve">Proposal </w:t>
      </w:r>
      <w:r w:rsidR="00530894">
        <w:rPr>
          <w:b/>
          <w:bCs/>
        </w:rPr>
        <w:t>4</w:t>
      </w:r>
      <w:r w:rsidRPr="00B05D3A">
        <w:rPr>
          <w:b/>
          <w:bCs/>
        </w:rPr>
        <w:t xml:space="preserve">: RAN2 to adopt a RSRP measurement approach to allowing a UE to select a subset of SMTCs to measure of the </w:t>
      </w:r>
      <w:r>
        <w:rPr>
          <w:b/>
          <w:bCs/>
        </w:rPr>
        <w:t>4, or more</w:t>
      </w:r>
      <w:r w:rsidRPr="00B05D3A">
        <w:rPr>
          <w:b/>
          <w:bCs/>
        </w:rPr>
        <w:t xml:space="preserve"> configured</w:t>
      </w:r>
      <w:r>
        <w:rPr>
          <w:b/>
          <w:bCs/>
        </w:rPr>
        <w:t xml:space="preserve"> SMTCs</w:t>
      </w:r>
      <w:r w:rsidRPr="00B05D3A">
        <w:rPr>
          <w:b/>
          <w:bCs/>
        </w:rPr>
        <w:t>.</w:t>
      </w:r>
    </w:p>
    <w:p w14:paraId="243BCDBC" w14:textId="7333D681" w:rsidR="00E22F3C" w:rsidRDefault="002C0F70" w:rsidP="00406A8D">
      <w:pPr>
        <w:pStyle w:val="Heading3"/>
        <w:rPr>
          <w:b/>
          <w:bCs/>
        </w:rPr>
      </w:pPr>
      <w:r>
        <w:t>2.2.2</w:t>
      </w:r>
      <w:r>
        <w:tab/>
        <w:t>Coordinated availability</w:t>
      </w:r>
    </w:p>
    <w:p w14:paraId="3904F8D9" w14:textId="0ABCD9AE" w:rsidR="002C0F70" w:rsidRDefault="002C0F70" w:rsidP="002C7E47"/>
    <w:p w14:paraId="6FBAFD77" w14:textId="09F79326" w:rsidR="009D7B7B" w:rsidRDefault="004E5EC2" w:rsidP="002C7E47">
      <w:proofErr w:type="gramStart"/>
      <w:r>
        <w:t>Alternatively</w:t>
      </w:r>
      <w:proofErr w:type="gramEnd"/>
      <w:r w:rsidR="003404BD">
        <w:t xml:space="preserve"> to the uncoordinated approach</w:t>
      </w:r>
      <w:r>
        <w:t>,</w:t>
      </w:r>
      <w:r w:rsidR="003404BD">
        <w:t xml:space="preserve"> </w:t>
      </w:r>
      <w:r w:rsidR="00CF7C81">
        <w:t>it was discussed in RAN2 that</w:t>
      </w:r>
      <w:r>
        <w:t xml:space="preserve"> the network can configure the availability of </w:t>
      </w:r>
      <w:r w:rsidR="00C339DC">
        <w:t xml:space="preserve">the </w:t>
      </w:r>
      <w:r w:rsidR="008B51A2">
        <w:t>neighbouring</w:t>
      </w:r>
      <w:r w:rsidR="00C339DC">
        <w:t xml:space="preserve"> cells</w:t>
      </w:r>
      <w:r w:rsidR="00DB5EB9">
        <w:t xml:space="preserve"> SSBs</w:t>
      </w:r>
      <w:r w:rsidR="00C339DC">
        <w:t xml:space="preserve"> in a coordinated manner. For example, the </w:t>
      </w:r>
      <w:r w:rsidR="003E0330">
        <w:t xml:space="preserve">time offsets in which the SSBs of the different neighbor cells are available could be a multiple of 20 ms. </w:t>
      </w:r>
      <w:r w:rsidR="00721FCA">
        <w:t xml:space="preserve">This situation is illustrated in Figure </w:t>
      </w:r>
      <w:r w:rsidR="00D1014C">
        <w:t>3</w:t>
      </w:r>
      <w:r w:rsidR="00721FCA">
        <w:t xml:space="preserve">. </w:t>
      </w:r>
    </w:p>
    <w:p w14:paraId="391B1917" w14:textId="77777777" w:rsidR="00FB0B3F" w:rsidRDefault="007C060F" w:rsidP="00406A8D">
      <w:pPr>
        <w:keepNext/>
        <w:jc w:val="center"/>
      </w:pPr>
      <w:r>
        <w:rPr>
          <w:noProof/>
        </w:rPr>
        <w:drawing>
          <wp:inline distT="0" distB="0" distL="0" distR="0" wp14:anchorId="27F387AE" wp14:editId="4DF454E6">
            <wp:extent cx="4279392" cy="1563769"/>
            <wp:effectExtent l="0" t="0" r="6985" b="0"/>
            <wp:docPr id="1137020278" name="Picture 1" descr="A diagram of different colored rectangular objec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020278" name="Picture 1" descr="A diagram of different colored rectangular objects&#10;&#10;AI-generated content may be incorrect."/>
                    <pic:cNvPicPr/>
                  </pic:nvPicPr>
                  <pic:blipFill>
                    <a:blip r:embed="rId15"/>
                    <a:stretch>
                      <a:fillRect/>
                    </a:stretch>
                  </pic:blipFill>
                  <pic:spPr>
                    <a:xfrm>
                      <a:off x="0" y="0"/>
                      <a:ext cx="4301939" cy="1572008"/>
                    </a:xfrm>
                    <a:prstGeom prst="rect">
                      <a:avLst/>
                    </a:prstGeom>
                  </pic:spPr>
                </pic:pic>
              </a:graphicData>
            </a:graphic>
          </wp:inline>
        </w:drawing>
      </w:r>
    </w:p>
    <w:p w14:paraId="4A0E86FE" w14:textId="058169E6" w:rsidR="00721FCA" w:rsidRDefault="00FB0B3F" w:rsidP="00406A8D">
      <w:pPr>
        <w:pStyle w:val="Caption"/>
        <w:jc w:val="center"/>
      </w:pPr>
      <w:bookmarkStart w:id="1" w:name="_Ref193912983"/>
      <w:r>
        <w:t xml:space="preserve">Figure </w:t>
      </w:r>
      <w:r>
        <w:fldChar w:fldCharType="begin"/>
      </w:r>
      <w:r>
        <w:instrText xml:space="preserve"> SEQ Figure \* ARABIC </w:instrText>
      </w:r>
      <w:r>
        <w:fldChar w:fldCharType="separate"/>
      </w:r>
      <w:r w:rsidR="000E7838">
        <w:rPr>
          <w:noProof/>
        </w:rPr>
        <w:t>3</w:t>
      </w:r>
      <w:r>
        <w:fldChar w:fldCharType="end"/>
      </w:r>
      <w:bookmarkEnd w:id="1"/>
      <w:r>
        <w:t xml:space="preserve"> </w:t>
      </w:r>
      <w:r w:rsidR="00890660">
        <w:t>–</w:t>
      </w:r>
      <w:r>
        <w:t xml:space="preserve"> </w:t>
      </w:r>
      <w:r w:rsidR="00890660">
        <w:t xml:space="preserve">Example of one SMTC being configured to measure SSBs with regular </w:t>
      </w:r>
      <w:r w:rsidR="00BA446F">
        <w:t>time offsets</w:t>
      </w:r>
    </w:p>
    <w:p w14:paraId="3FB47478" w14:textId="61284443" w:rsidR="002C7E47" w:rsidRDefault="00406A8D" w:rsidP="00406A8D">
      <w:pPr>
        <w:jc w:val="both"/>
      </w:pPr>
      <w:r>
        <w:t>In such case, w</w:t>
      </w:r>
      <w:r w:rsidRPr="009970A4">
        <w:t>e</w:t>
      </w:r>
      <w:r w:rsidR="002C7E47" w:rsidRPr="009970A4">
        <w:t xml:space="preserve"> assume that the SSBs of DL-CE cells will be available </w:t>
      </w:r>
      <w:r w:rsidR="002C7E47">
        <w:t xml:space="preserve">for measurements </w:t>
      </w:r>
      <w:r w:rsidR="002C7E47" w:rsidRPr="009970A4">
        <w:t>at least with a default periodicity supported in NR: 20ms or 160 ms.</w:t>
      </w:r>
      <w:r w:rsidR="002C7E47">
        <w:t xml:space="preserve"> </w:t>
      </w:r>
      <w:r w:rsidR="00347F4E">
        <w:t>Based on the deployment in</w:t>
      </w:r>
      <w:r w:rsidR="002C7E47">
        <w:t xml:space="preserve"> </w:t>
      </w:r>
      <w:r w:rsidR="00C30D5D">
        <w:fldChar w:fldCharType="begin"/>
      </w:r>
      <w:r w:rsidR="00C30D5D">
        <w:instrText xml:space="preserve"> REF _Ref193912983 \h </w:instrText>
      </w:r>
      <w:r w:rsidR="00A859BE">
        <w:instrText xml:space="preserve"> \* MERGEFORMAT </w:instrText>
      </w:r>
      <w:r w:rsidR="00C30D5D">
        <w:fldChar w:fldCharType="separate"/>
      </w:r>
      <w:r w:rsidR="00C30D5D">
        <w:t xml:space="preserve">Figure </w:t>
      </w:r>
      <w:r w:rsidR="00C30D5D">
        <w:rPr>
          <w:noProof/>
        </w:rPr>
        <w:t>3</w:t>
      </w:r>
      <w:r w:rsidR="00C30D5D">
        <w:fldChar w:fldCharType="end"/>
      </w:r>
      <w:r w:rsidR="00C30D5D">
        <w:t xml:space="preserve"> </w:t>
      </w:r>
      <w:r w:rsidR="002C7E47">
        <w:t xml:space="preserve">and that all the supported SSB periodicities longer than 20 ms in NR are multiple of 20 ms. It is possible that with a SMTC periodicity shorter than the SSB periodicity the UE can measure SSBs from the neighbour cells that are not active at the same time if the time offset </w:t>
      </w:r>
      <w:r w:rsidR="00B827FD">
        <w:t>between the</w:t>
      </w:r>
      <w:r w:rsidR="002C7E47">
        <w:t xml:space="preserve"> SSBs is </w:t>
      </w:r>
      <w:r w:rsidR="00B827FD">
        <w:t>regular</w:t>
      </w:r>
      <w:r w:rsidR="002C7E47">
        <w:t xml:space="preserve">. </w:t>
      </w:r>
      <w:r w:rsidR="00B827FD">
        <w:t xml:space="preserve">However, the UE would need to be provided with assistance information, such as the </w:t>
      </w:r>
      <w:r w:rsidR="00573F10">
        <w:t xml:space="preserve">SSBs periodicity, and the time offsets between the SSBs measured in the same SMTC. </w:t>
      </w:r>
      <w:r w:rsidR="002C7E47">
        <w:t>It is a matter of network configuration and of the network providing the necessary information for the UE to measure the neighbor cells.</w:t>
      </w:r>
    </w:p>
    <w:p w14:paraId="54C78866" w14:textId="7D0B8F57" w:rsidR="002A045B" w:rsidRDefault="002A045B" w:rsidP="002A045B">
      <w:pPr>
        <w:rPr>
          <w:b/>
          <w:bCs/>
        </w:rPr>
      </w:pPr>
      <w:r w:rsidRPr="00274571">
        <w:rPr>
          <w:b/>
          <w:bCs/>
        </w:rPr>
        <w:t xml:space="preserve">Observation </w:t>
      </w:r>
      <w:r w:rsidR="00406A8D">
        <w:rPr>
          <w:b/>
          <w:bCs/>
        </w:rPr>
        <w:t>5</w:t>
      </w:r>
      <w:r w:rsidRPr="00274571">
        <w:rPr>
          <w:b/>
          <w:bCs/>
        </w:rPr>
        <w:t xml:space="preserve">: </w:t>
      </w:r>
      <w:r>
        <w:rPr>
          <w:b/>
          <w:bCs/>
        </w:rPr>
        <w:t>The relevant information for configuring the UE to measure neighbor cells that are active in a scattered manner in the same or different satellites are: periodicity</w:t>
      </w:r>
      <w:r w:rsidR="00D3783C">
        <w:rPr>
          <w:b/>
          <w:bCs/>
        </w:rPr>
        <w:t xml:space="preserve"> and </w:t>
      </w:r>
      <w:r>
        <w:rPr>
          <w:b/>
          <w:bCs/>
        </w:rPr>
        <w:t xml:space="preserve">time offset. </w:t>
      </w:r>
    </w:p>
    <w:p w14:paraId="070267DC" w14:textId="62F1339E" w:rsidR="002C7E47" w:rsidRDefault="002C7E47" w:rsidP="002C7E47">
      <w:pPr>
        <w:rPr>
          <w:b/>
          <w:bCs/>
        </w:rPr>
      </w:pPr>
      <w:r>
        <w:rPr>
          <w:b/>
          <w:bCs/>
        </w:rPr>
        <w:t xml:space="preserve">Proposal </w:t>
      </w:r>
      <w:r w:rsidR="00530894">
        <w:rPr>
          <w:b/>
          <w:bCs/>
        </w:rPr>
        <w:t>5</w:t>
      </w:r>
      <w:r>
        <w:rPr>
          <w:b/>
          <w:bCs/>
        </w:rPr>
        <w:t xml:space="preserve">: </w:t>
      </w:r>
      <w:r w:rsidR="00A85E45">
        <w:rPr>
          <w:b/>
          <w:bCs/>
        </w:rPr>
        <w:t>gNB provides the neighbor cell</w:t>
      </w:r>
      <w:r w:rsidR="005E6EC1">
        <w:rPr>
          <w:b/>
          <w:bCs/>
        </w:rPr>
        <w:t>s SSB periodicit</w:t>
      </w:r>
      <w:r w:rsidR="00964170">
        <w:rPr>
          <w:b/>
          <w:bCs/>
        </w:rPr>
        <w:t>ies</w:t>
      </w:r>
      <w:r w:rsidR="00821576">
        <w:rPr>
          <w:b/>
          <w:bCs/>
        </w:rPr>
        <w:t xml:space="preserve"> and time offsets</w:t>
      </w:r>
      <w:r w:rsidR="007B5E96">
        <w:rPr>
          <w:b/>
          <w:bCs/>
        </w:rPr>
        <w:t>.</w:t>
      </w:r>
    </w:p>
    <w:p w14:paraId="43FDD3EC" w14:textId="4AEDD07C" w:rsidR="00D3783C" w:rsidRPr="00406A8D" w:rsidRDefault="00D3783C" w:rsidP="002C7E47">
      <w:r w:rsidRPr="00406A8D">
        <w:t xml:space="preserve">To </w:t>
      </w:r>
      <w:proofErr w:type="gramStart"/>
      <w:r w:rsidRPr="00406A8D">
        <w:t>take into account</w:t>
      </w:r>
      <w:proofErr w:type="gramEnd"/>
      <w:r w:rsidRPr="00406A8D">
        <w:t xml:space="preserve"> the cells with </w:t>
      </w:r>
      <w:r w:rsidR="001C0A25" w:rsidRPr="00406A8D">
        <w:t>propagation delay difference, i.e. served by a different satellite, the gNB could still provide SMTC4 configurations.</w:t>
      </w:r>
    </w:p>
    <w:p w14:paraId="010F5D0A" w14:textId="5ADB394B" w:rsidR="00C40958" w:rsidRDefault="00C40958" w:rsidP="00C40958">
      <w:pPr>
        <w:pStyle w:val="Heading2"/>
      </w:pPr>
      <w:r>
        <w:t>2.</w:t>
      </w:r>
      <w:r w:rsidR="00F04057">
        <w:t>3</w:t>
      </w:r>
      <w:r>
        <w:tab/>
        <w:t>Cell barring</w:t>
      </w:r>
    </w:p>
    <w:p w14:paraId="45710613" w14:textId="77777777" w:rsidR="00C40958" w:rsidRPr="00130FBE" w:rsidRDefault="00C40958" w:rsidP="00C40958">
      <w:pPr>
        <w:pStyle w:val="paragraph"/>
        <w:spacing w:before="0" w:beforeAutospacing="0" w:after="120" w:afterAutospacing="0" w:line="240" w:lineRule="auto"/>
        <w:jc w:val="both"/>
        <w:textAlignment w:val="baseline"/>
        <w:rPr>
          <w:rFonts w:ascii="Times New Roman" w:hAnsi="Times New Roman" w:cs="Times New Roman"/>
          <w:sz w:val="20"/>
          <w:szCs w:val="20"/>
        </w:rPr>
      </w:pPr>
      <w:r w:rsidRPr="00130FBE">
        <w:rPr>
          <w:rFonts w:ascii="Times New Roman" w:hAnsi="Times New Roman" w:cs="Times New Roman"/>
          <w:sz w:val="20"/>
          <w:szCs w:val="20"/>
        </w:rPr>
        <w:t xml:space="preserve">RAN2 agreed in </w:t>
      </w:r>
      <w:hyperlink r:id="rId16" w:history="1">
        <w:r w:rsidRPr="006A3155">
          <w:rPr>
            <w:rStyle w:val="Hyperlink"/>
            <w:rFonts w:ascii="Times New Roman" w:hAnsi="Times New Roman" w:cs="Times New Roman"/>
            <w:sz w:val="20"/>
            <w:szCs w:val="20"/>
          </w:rPr>
          <w:t>RAN #127bis</w:t>
        </w:r>
      </w:hyperlink>
      <w:r w:rsidRPr="00130FBE">
        <w:rPr>
          <w:rFonts w:ascii="Times New Roman" w:hAnsi="Times New Roman" w:cs="Times New Roman"/>
          <w:sz w:val="20"/>
          <w:szCs w:val="20"/>
        </w:rPr>
        <w:t xml:space="preserve"> to introduce a barring </w:t>
      </w:r>
      <w:r>
        <w:rPr>
          <w:rFonts w:ascii="Times New Roman" w:hAnsi="Times New Roman" w:cs="Times New Roman"/>
          <w:sz w:val="20"/>
          <w:szCs w:val="20"/>
        </w:rPr>
        <w:t>mechanism</w:t>
      </w:r>
      <w:r w:rsidRPr="00130FBE">
        <w:rPr>
          <w:rFonts w:ascii="Times New Roman" w:hAnsi="Times New Roman" w:cs="Times New Roman"/>
          <w:sz w:val="20"/>
          <w:szCs w:val="20"/>
        </w:rPr>
        <w:t xml:space="preserve"> to avoid rel-17 and Rel-</w:t>
      </w:r>
      <w:r>
        <w:rPr>
          <w:rFonts w:ascii="Times New Roman" w:hAnsi="Times New Roman" w:cs="Times New Roman"/>
          <w:sz w:val="20"/>
          <w:szCs w:val="20"/>
        </w:rPr>
        <w:t>1</w:t>
      </w:r>
      <w:r w:rsidRPr="00130FBE">
        <w:rPr>
          <w:rFonts w:ascii="Times New Roman" w:hAnsi="Times New Roman" w:cs="Times New Roman"/>
          <w:sz w:val="20"/>
          <w:szCs w:val="20"/>
        </w:rPr>
        <w:t>8 UE to access a Rel-19 cell with extended SSB periodicity:</w:t>
      </w:r>
    </w:p>
    <w:p w14:paraId="1C02DEA6" w14:textId="77777777" w:rsidR="00C40958" w:rsidRPr="00130FBE" w:rsidRDefault="00C40958" w:rsidP="00C40958">
      <w:pPr>
        <w:pStyle w:val="paragraph"/>
        <w:pBdr>
          <w:top w:val="single" w:sz="4" w:space="1" w:color="auto"/>
          <w:left w:val="single" w:sz="4" w:space="0" w:color="auto"/>
          <w:bottom w:val="single" w:sz="4" w:space="1" w:color="auto"/>
          <w:right w:val="single" w:sz="4" w:space="4" w:color="auto"/>
        </w:pBdr>
        <w:spacing w:after="120"/>
        <w:jc w:val="both"/>
        <w:textAlignment w:val="baseline"/>
        <w:rPr>
          <w:rFonts w:ascii="Times New Roman" w:hAnsi="Times New Roman" w:cs="Times New Roman"/>
          <w:sz w:val="20"/>
          <w:szCs w:val="20"/>
        </w:rPr>
      </w:pPr>
      <w:r w:rsidRPr="00130FBE">
        <w:rPr>
          <w:rFonts w:ascii="Times New Roman" w:hAnsi="Times New Roman" w:cs="Times New Roman"/>
          <w:sz w:val="20"/>
          <w:szCs w:val="20"/>
        </w:rPr>
        <w:t>Agreements:</w:t>
      </w:r>
    </w:p>
    <w:p w14:paraId="352439C8" w14:textId="77777777" w:rsidR="00C40958" w:rsidRPr="00130FBE" w:rsidRDefault="00C40958" w:rsidP="00C40958">
      <w:pPr>
        <w:pStyle w:val="paragraph"/>
        <w:pBdr>
          <w:top w:val="single" w:sz="4" w:space="1" w:color="auto"/>
          <w:left w:val="single" w:sz="4" w:space="0" w:color="auto"/>
          <w:bottom w:val="single" w:sz="4" w:space="1" w:color="auto"/>
          <w:right w:val="single" w:sz="4" w:space="4" w:color="auto"/>
        </w:pBdr>
        <w:spacing w:after="120"/>
        <w:jc w:val="both"/>
        <w:textAlignment w:val="baseline"/>
        <w:rPr>
          <w:rFonts w:ascii="Times New Roman" w:hAnsi="Times New Roman" w:cs="Times New Roman"/>
          <w:sz w:val="20"/>
          <w:szCs w:val="20"/>
        </w:rPr>
      </w:pPr>
      <w:r w:rsidRPr="00130FBE">
        <w:rPr>
          <w:rFonts w:ascii="Times New Roman" w:hAnsi="Times New Roman" w:cs="Times New Roman"/>
          <w:sz w:val="20"/>
          <w:szCs w:val="20"/>
        </w:rPr>
        <w:t>1.</w:t>
      </w:r>
      <w:r w:rsidRPr="00130FBE">
        <w:rPr>
          <w:rFonts w:ascii="Times New Roman" w:hAnsi="Times New Roman" w:cs="Times New Roman"/>
          <w:sz w:val="20"/>
          <w:szCs w:val="20"/>
        </w:rPr>
        <w:tab/>
        <w:t xml:space="preserve">If it turns out that there is a need to bar UEs not supporting DL-CE, Rel-19 UEs not supporting DL-CE can be barred from accessing a cell operating with DL-CE </w:t>
      </w:r>
      <w:r w:rsidRPr="00B01742">
        <w:rPr>
          <w:rFonts w:ascii="Times New Roman" w:hAnsi="Times New Roman" w:cs="Times New Roman"/>
          <w:sz w:val="20"/>
          <w:szCs w:val="20"/>
          <w:highlight w:val="yellow"/>
        </w:rPr>
        <w:t>using the existing NTN bar bit</w:t>
      </w:r>
      <w:r w:rsidRPr="00130FBE">
        <w:rPr>
          <w:rFonts w:ascii="Times New Roman" w:hAnsi="Times New Roman" w:cs="Times New Roman"/>
          <w:sz w:val="20"/>
          <w:szCs w:val="20"/>
        </w:rPr>
        <w:t>, in the same way as pre-Rel19 NTN UEs (this is an extension of the previous agreement to include also Rel-19 UE not supporting DL-CE)</w:t>
      </w:r>
    </w:p>
    <w:p w14:paraId="49C97F54" w14:textId="77777777" w:rsidR="00C40958" w:rsidRPr="00130FBE" w:rsidRDefault="00C40958" w:rsidP="00C40958">
      <w:pPr>
        <w:pStyle w:val="paragraph"/>
        <w:pBdr>
          <w:top w:val="single" w:sz="4" w:space="1" w:color="auto"/>
          <w:left w:val="single" w:sz="4" w:space="0" w:color="auto"/>
          <w:bottom w:val="single" w:sz="4" w:space="1" w:color="auto"/>
          <w:right w:val="single" w:sz="4" w:space="4" w:color="auto"/>
        </w:pBdr>
        <w:spacing w:after="120"/>
        <w:jc w:val="both"/>
        <w:textAlignment w:val="baseline"/>
        <w:rPr>
          <w:rFonts w:ascii="Times New Roman" w:hAnsi="Times New Roman" w:cs="Times New Roman"/>
          <w:sz w:val="20"/>
          <w:szCs w:val="20"/>
        </w:rPr>
      </w:pPr>
      <w:r w:rsidRPr="00130FBE">
        <w:rPr>
          <w:rFonts w:ascii="Times New Roman" w:hAnsi="Times New Roman" w:cs="Times New Roman"/>
          <w:sz w:val="20"/>
          <w:szCs w:val="20"/>
        </w:rPr>
        <w:lastRenderedPageBreak/>
        <w:t>2.</w:t>
      </w:r>
      <w:r w:rsidRPr="00130FBE">
        <w:rPr>
          <w:rFonts w:ascii="Times New Roman" w:hAnsi="Times New Roman" w:cs="Times New Roman"/>
          <w:sz w:val="20"/>
          <w:szCs w:val="20"/>
        </w:rPr>
        <w:tab/>
        <w:t xml:space="preserve">If it turns out that there is a need to bar UEs not supporting DL-CE, then we need </w:t>
      </w:r>
      <w:r w:rsidRPr="001A7021">
        <w:rPr>
          <w:rFonts w:ascii="Times New Roman" w:hAnsi="Times New Roman" w:cs="Times New Roman"/>
          <w:sz w:val="20"/>
          <w:szCs w:val="20"/>
          <w:highlight w:val="yellow"/>
        </w:rPr>
        <w:t>to introduce a barring mechanism to control access of UEs supporting Rel19 NTN DL-CE</w:t>
      </w:r>
      <w:r w:rsidRPr="00130FBE">
        <w:rPr>
          <w:rFonts w:ascii="Times New Roman" w:hAnsi="Times New Roman" w:cs="Times New Roman"/>
          <w:sz w:val="20"/>
          <w:szCs w:val="20"/>
        </w:rPr>
        <w:t>. FFS on the details. (This also implies that UEs supporting Rel19 NTN DL-CE will not consider the existing NTN barring bit)</w:t>
      </w:r>
    </w:p>
    <w:p w14:paraId="522692E7" w14:textId="77777777" w:rsidR="00C40958" w:rsidRPr="00130FBE" w:rsidRDefault="00C40958" w:rsidP="00C40958">
      <w:pPr>
        <w:pStyle w:val="paragraph"/>
        <w:pBdr>
          <w:top w:val="single" w:sz="4" w:space="1" w:color="auto"/>
          <w:left w:val="single" w:sz="4" w:space="0" w:color="auto"/>
          <w:bottom w:val="single" w:sz="4" w:space="1" w:color="auto"/>
          <w:right w:val="single" w:sz="4" w:space="4" w:color="auto"/>
        </w:pBdr>
        <w:spacing w:after="120"/>
        <w:jc w:val="both"/>
        <w:textAlignment w:val="baseline"/>
        <w:rPr>
          <w:rFonts w:ascii="Times New Roman" w:hAnsi="Times New Roman" w:cs="Times New Roman"/>
          <w:sz w:val="20"/>
          <w:szCs w:val="20"/>
        </w:rPr>
      </w:pPr>
      <w:r w:rsidRPr="00130FBE">
        <w:rPr>
          <w:rFonts w:ascii="Times New Roman" w:hAnsi="Times New Roman" w:cs="Times New Roman"/>
          <w:sz w:val="20"/>
          <w:szCs w:val="20"/>
        </w:rPr>
        <w:t>3.</w:t>
      </w:r>
      <w:r w:rsidRPr="00130FBE">
        <w:rPr>
          <w:rFonts w:ascii="Times New Roman" w:hAnsi="Times New Roman" w:cs="Times New Roman"/>
          <w:sz w:val="20"/>
          <w:szCs w:val="20"/>
        </w:rPr>
        <w:tab/>
        <w:t>(also depending on the details of the RAN1 solution) we can further consider methods to allow UEs not supporting DL CE to down-prioritize or prevent re-selection to cells operating with DL CE.</w:t>
      </w:r>
    </w:p>
    <w:p w14:paraId="2CDE9C82" w14:textId="77777777" w:rsidR="00C40958" w:rsidRDefault="00C40958" w:rsidP="00C40958">
      <w:pPr>
        <w:pStyle w:val="paragraph"/>
        <w:spacing w:after="120"/>
        <w:jc w:val="both"/>
        <w:textAlignment w:val="baseline"/>
        <w:rPr>
          <w:rFonts w:ascii="Times New Roman" w:hAnsi="Times New Roman" w:cs="Times New Roman"/>
          <w:sz w:val="20"/>
          <w:szCs w:val="20"/>
        </w:rPr>
      </w:pPr>
      <w:r>
        <w:rPr>
          <w:rFonts w:ascii="Times New Roman" w:hAnsi="Times New Roman" w:cs="Times New Roman"/>
          <w:sz w:val="20"/>
          <w:szCs w:val="20"/>
        </w:rPr>
        <w:t xml:space="preserve">Furthermore, RAN2 agreed in </w:t>
      </w:r>
      <w:hyperlink r:id="rId17" w:history="1">
        <w:r w:rsidRPr="00F710ED">
          <w:rPr>
            <w:rStyle w:val="Hyperlink"/>
            <w:rFonts w:ascii="Times New Roman" w:hAnsi="Times New Roman" w:cs="Times New Roman"/>
            <w:sz w:val="20"/>
            <w:szCs w:val="20"/>
          </w:rPr>
          <w:t>RAN2 #128</w:t>
        </w:r>
      </w:hyperlink>
      <w:r>
        <w:rPr>
          <w:rFonts w:ascii="Times New Roman" w:hAnsi="Times New Roman" w:cs="Times New Roman"/>
          <w:sz w:val="20"/>
          <w:szCs w:val="20"/>
        </w:rPr>
        <w:t xml:space="preserve"> that:</w:t>
      </w:r>
    </w:p>
    <w:tbl>
      <w:tblPr>
        <w:tblStyle w:val="TableGrid"/>
        <w:tblW w:w="0" w:type="auto"/>
        <w:tblLook w:val="04A0" w:firstRow="1" w:lastRow="0" w:firstColumn="1" w:lastColumn="0" w:noHBand="0" w:noVBand="1"/>
      </w:tblPr>
      <w:tblGrid>
        <w:gridCol w:w="9631"/>
      </w:tblGrid>
      <w:tr w:rsidR="00C40958" w14:paraId="38445329" w14:textId="77777777" w:rsidTr="008E536C">
        <w:tc>
          <w:tcPr>
            <w:tcW w:w="9631" w:type="dxa"/>
          </w:tcPr>
          <w:p w14:paraId="7326F2FA" w14:textId="77777777" w:rsidR="00C40958" w:rsidRPr="00FA3FC4" w:rsidRDefault="00C40958" w:rsidP="008E536C">
            <w:pPr>
              <w:pStyle w:val="paragraph"/>
              <w:spacing w:after="120"/>
              <w:jc w:val="both"/>
              <w:textAlignment w:val="baseline"/>
              <w:rPr>
                <w:rFonts w:ascii="Times New Roman" w:hAnsi="Times New Roman" w:cs="Times New Roman"/>
                <w:sz w:val="20"/>
                <w:szCs w:val="20"/>
                <w:lang w:val="en-GB"/>
              </w:rPr>
            </w:pPr>
            <w:r w:rsidRPr="00244513">
              <w:rPr>
                <w:rFonts w:ascii="Times New Roman" w:hAnsi="Times New Roman" w:cs="Times New Roman"/>
                <w:sz w:val="20"/>
                <w:szCs w:val="20"/>
                <w:lang w:val="en-GB"/>
              </w:rPr>
              <w:t>1.    If we need to bar UEs not supporting DL-CE (via legacy mechanism</w:t>
            </w:r>
            <w:r w:rsidRPr="00FA3FC4">
              <w:rPr>
                <w:rFonts w:ascii="Times New Roman" w:hAnsi="Times New Roman" w:cs="Times New Roman"/>
                <w:sz w:val="20"/>
                <w:szCs w:val="20"/>
                <w:highlight w:val="yellow"/>
                <w:lang w:val="en-GB"/>
              </w:rPr>
              <w:t>), we introduce a new barring in SIB1 to be able to selectively bar “UEs supporting DL-CE”</w:t>
            </w:r>
            <w:r w:rsidRPr="00244513">
              <w:rPr>
                <w:rFonts w:ascii="Times New Roman" w:hAnsi="Times New Roman" w:cs="Times New Roman"/>
                <w:sz w:val="20"/>
                <w:szCs w:val="20"/>
                <w:lang w:val="en-GB"/>
              </w:rPr>
              <w:t xml:space="preserve"> (FFS if we will finally refer to “UEs supporting extended SSB periodicity” instead). FFS on the details (e.g. how many bits, etc.)</w:t>
            </w:r>
          </w:p>
        </w:tc>
      </w:tr>
    </w:tbl>
    <w:p w14:paraId="30372CEE" w14:textId="77777777" w:rsidR="00C40958" w:rsidRDefault="00C40958" w:rsidP="00C40958">
      <w:pPr>
        <w:spacing w:before="240"/>
        <w:rPr>
          <w:lang w:val="en-US"/>
        </w:rPr>
      </w:pPr>
      <w:r>
        <w:rPr>
          <w:lang w:val="en-US"/>
        </w:rPr>
        <w:t xml:space="preserve">There is still a need to discuss how this new barring bit would interact with the existing barring bits. There are two existing barring bits that are relevant are: cellBarred and cellBarred-NTN, which can be “barred” or “not barred”. From 38.304, we have that: </w:t>
      </w:r>
    </w:p>
    <w:tbl>
      <w:tblPr>
        <w:tblStyle w:val="TableGrid"/>
        <w:tblW w:w="0" w:type="auto"/>
        <w:tblLook w:val="04A0" w:firstRow="1" w:lastRow="0" w:firstColumn="1" w:lastColumn="0" w:noHBand="0" w:noVBand="1"/>
      </w:tblPr>
      <w:tblGrid>
        <w:gridCol w:w="9631"/>
      </w:tblGrid>
      <w:tr w:rsidR="00C40958" w14:paraId="034DEBBE" w14:textId="77777777" w:rsidTr="008E536C">
        <w:tc>
          <w:tcPr>
            <w:tcW w:w="9631" w:type="dxa"/>
          </w:tcPr>
          <w:p w14:paraId="4FC3628E" w14:textId="77777777" w:rsidR="00C40958" w:rsidRDefault="00C40958" w:rsidP="008E536C">
            <w:r w:rsidRPr="006E07A4">
              <w:t>- cellBarred (IE type: "barred" or "not barred") Indicated in MIB message. In case of multiple PLMNs or NPNs indicated in SIB1, this field is common for all PLMNs and NPNs. This field is ignored by UEs supporting NTN for NTN access, or by UEs supporting ATG for ATG access.</w:t>
            </w:r>
          </w:p>
          <w:p w14:paraId="15A8AEFD" w14:textId="77777777" w:rsidR="00C40958" w:rsidRDefault="00C40958" w:rsidP="008E536C">
            <w:pPr>
              <w:spacing w:before="240"/>
              <w:rPr>
                <w:lang w:val="en-US"/>
              </w:rPr>
            </w:pPr>
            <w:r>
              <w:t xml:space="preserve">- </w:t>
            </w:r>
            <w:r w:rsidRPr="00E1570B">
              <w:t>cellBarredNTN (IE type: "barred" or "not barred") Indicated in SIB1 message. In case of multiple PLMNs indicated in SIB1, this field is common for all PLMNs. This field is ignored if the UE does not support NTN access.</w:t>
            </w:r>
          </w:p>
        </w:tc>
      </w:tr>
    </w:tbl>
    <w:p w14:paraId="5F59849B" w14:textId="77777777" w:rsidR="00C40958" w:rsidRPr="00B66774" w:rsidRDefault="00C40958" w:rsidP="00C40958">
      <w:pPr>
        <w:spacing w:before="240"/>
      </w:pPr>
      <w:r>
        <w:t xml:space="preserve">One concern w.r.t barring is, that since NTN and NR can coexist enabling DL-CE specific barring would mean that the network should now consider </w:t>
      </w:r>
      <w:r w:rsidRPr="00FA3FC4">
        <w:rPr>
          <w:kern w:val="2"/>
          <w:lang w:val="en-US" w:eastAsia="da-DK"/>
          <w14:ligatures w14:val="standardContextual"/>
        </w:rPr>
        <w:t xml:space="preserve">3 types of barring (cell, NTN and NTN with CE-for coverage enhancements), </w:t>
      </w:r>
      <w:r w:rsidRPr="00FA3FC4">
        <w:rPr>
          <w:kern w:val="2"/>
          <w:u w:val="single"/>
          <w:lang w:val="en-US" w:eastAsia="da-DK"/>
          <w14:ligatures w14:val="standardContextual"/>
        </w:rPr>
        <w:t>and</w:t>
      </w:r>
      <w:r w:rsidRPr="00FA3FC4">
        <w:rPr>
          <w:kern w:val="2"/>
          <w:lang w:val="en-US" w:eastAsia="da-DK"/>
          <w14:ligatures w14:val="standardContextual"/>
        </w:rPr>
        <w:t xml:space="preserve"> 3 types of UE</w:t>
      </w:r>
      <w:r>
        <w:t>s</w:t>
      </w:r>
      <w:r w:rsidRPr="00FA3FC4">
        <w:rPr>
          <w:kern w:val="2"/>
          <w:lang w:val="en-US" w:eastAsia="da-DK"/>
          <w14:ligatures w14:val="standardContextual"/>
        </w:rPr>
        <w:t xml:space="preserve"> (non-NTN, NTN, NTN with CE)</w:t>
      </w:r>
      <w:r>
        <w:t xml:space="preserve">. </w:t>
      </w:r>
    </w:p>
    <w:p w14:paraId="08410B13" w14:textId="77777777" w:rsidR="00C40958" w:rsidRDefault="00C40958" w:rsidP="00C40958">
      <w:pPr>
        <w:pStyle w:val="paragraph"/>
        <w:spacing w:after="120"/>
        <w:jc w:val="both"/>
        <w:textAlignment w:val="baseline"/>
        <w:rPr>
          <w:rFonts w:ascii="Times New Roman" w:hAnsi="Times New Roman" w:cs="Times New Roman"/>
          <w:sz w:val="20"/>
          <w:szCs w:val="20"/>
        </w:rPr>
      </w:pPr>
      <w:r>
        <w:rPr>
          <w:rFonts w:ascii="Times New Roman" w:hAnsi="Times New Roman" w:cs="Times New Roman"/>
          <w:sz w:val="20"/>
          <w:szCs w:val="20"/>
        </w:rPr>
        <w:t xml:space="preserve">The agreements state that the barring bit is only applicable if there is a need, which initially was </w:t>
      </w:r>
      <w:proofErr w:type="gramStart"/>
      <w:r>
        <w:rPr>
          <w:rFonts w:ascii="Times New Roman" w:hAnsi="Times New Roman" w:cs="Times New Roman"/>
          <w:sz w:val="20"/>
          <w:szCs w:val="20"/>
        </w:rPr>
        <w:t>due to the fact that</w:t>
      </w:r>
      <w:proofErr w:type="gramEnd"/>
      <w:r>
        <w:rPr>
          <w:rFonts w:ascii="Times New Roman" w:hAnsi="Times New Roman" w:cs="Times New Roman"/>
          <w:sz w:val="20"/>
          <w:szCs w:val="20"/>
        </w:rPr>
        <w:t xml:space="preserve"> it was uncertain whether the SSB extension solution was adapted within RAN1. This is already understood in RAN1 that with a 160 ms SSB extension a UE should able to camp on a cell with SS/PBCH periodicity of 160 ms as the </w:t>
      </w:r>
      <w:hyperlink r:id="rId18" w:history="1">
        <w:r w:rsidRPr="00BD785B">
          <w:rPr>
            <w:rStyle w:val="Hyperlink"/>
            <w:rFonts w:ascii="Times New Roman" w:hAnsi="Times New Roman" w:cs="Times New Roman"/>
            <w:sz w:val="20"/>
            <w:szCs w:val="20"/>
          </w:rPr>
          <w:t>FL Summary</w:t>
        </w:r>
      </w:hyperlink>
      <w:r>
        <w:rPr>
          <w:rFonts w:ascii="Times New Roman" w:hAnsi="Times New Roman" w:cs="Times New Roman"/>
          <w:sz w:val="20"/>
          <w:szCs w:val="20"/>
        </w:rPr>
        <w:t xml:space="preserve"> states only larger than 160 ms is an issue.</w:t>
      </w:r>
    </w:p>
    <w:tbl>
      <w:tblPr>
        <w:tblStyle w:val="TableGrid"/>
        <w:tblW w:w="0" w:type="auto"/>
        <w:tblLook w:val="04A0" w:firstRow="1" w:lastRow="0" w:firstColumn="1" w:lastColumn="0" w:noHBand="0" w:noVBand="1"/>
      </w:tblPr>
      <w:tblGrid>
        <w:gridCol w:w="9631"/>
      </w:tblGrid>
      <w:tr w:rsidR="00C40958" w14:paraId="6DDC9F8E" w14:textId="77777777" w:rsidTr="008E536C">
        <w:tc>
          <w:tcPr>
            <w:tcW w:w="9631" w:type="dxa"/>
          </w:tcPr>
          <w:p w14:paraId="42529D70" w14:textId="77777777" w:rsidR="00C40958" w:rsidRPr="005C224B" w:rsidRDefault="00C40958" w:rsidP="008E536C">
            <w:pPr>
              <w:pStyle w:val="paragraph"/>
              <w:spacing w:after="120"/>
              <w:jc w:val="both"/>
              <w:textAlignment w:val="baseline"/>
              <w:rPr>
                <w:rFonts w:ascii="Times New Roman" w:hAnsi="Times New Roman" w:cs="Times New Roman"/>
                <w:sz w:val="20"/>
                <w:szCs w:val="20"/>
              </w:rPr>
            </w:pPr>
            <w:r w:rsidRPr="005C224B">
              <w:rPr>
                <w:rFonts w:ascii="Times New Roman" w:hAnsi="Times New Roman" w:cs="Times New Roman"/>
                <w:sz w:val="20"/>
                <w:szCs w:val="20"/>
              </w:rPr>
              <w:t>From Thursday session</w:t>
            </w:r>
          </w:p>
          <w:p w14:paraId="766E9ABD" w14:textId="77777777" w:rsidR="00C40958" w:rsidRPr="00FA3FC4" w:rsidRDefault="00C40958" w:rsidP="008E536C">
            <w:pPr>
              <w:pStyle w:val="paragraph"/>
              <w:spacing w:after="120"/>
              <w:jc w:val="both"/>
              <w:textAlignment w:val="baseline"/>
              <w:rPr>
                <w:rFonts w:ascii="Times New Roman" w:hAnsi="Times New Roman" w:cs="Times New Roman"/>
                <w:b/>
                <w:sz w:val="20"/>
                <w:szCs w:val="20"/>
              </w:rPr>
            </w:pPr>
            <w:r w:rsidRPr="00FA3FC4">
              <w:rPr>
                <w:rFonts w:ascii="Times New Roman" w:hAnsi="Times New Roman" w:cs="Times New Roman"/>
                <w:b/>
                <w:sz w:val="20"/>
                <w:szCs w:val="20"/>
              </w:rPr>
              <w:t>Observation</w:t>
            </w:r>
          </w:p>
          <w:p w14:paraId="0C3348B0" w14:textId="77777777" w:rsidR="00C40958" w:rsidRPr="005C224B" w:rsidRDefault="00C40958" w:rsidP="008E536C">
            <w:pPr>
              <w:pStyle w:val="paragraph"/>
              <w:spacing w:before="240" w:beforeAutospacing="0" w:after="0" w:afterAutospacing="0"/>
              <w:jc w:val="both"/>
              <w:textAlignment w:val="baseline"/>
              <w:rPr>
                <w:rFonts w:ascii="Times New Roman" w:hAnsi="Times New Roman" w:cs="Times New Roman"/>
                <w:sz w:val="20"/>
                <w:szCs w:val="20"/>
              </w:rPr>
            </w:pPr>
            <w:r w:rsidRPr="005C224B">
              <w:rPr>
                <w:rFonts w:ascii="Times New Roman" w:hAnsi="Times New Roman" w:cs="Times New Roman"/>
                <w:sz w:val="20"/>
                <w:szCs w:val="20"/>
              </w:rPr>
              <w:t>Backward compatibility for legacy UEs (i.e. Rel-17 and Rel-18 UEs) assuming a default SSB periodicity of 20ms is not guaranteed when SS/PBCH blocks periodicity is larger than 20ms within the cell used for initial frequency scan.</w:t>
            </w:r>
          </w:p>
          <w:p w14:paraId="26783D83" w14:textId="77777777" w:rsidR="00C40958" w:rsidRDefault="00C40958" w:rsidP="008E536C">
            <w:pPr>
              <w:pStyle w:val="paragraph"/>
              <w:spacing w:before="0" w:beforeAutospacing="0" w:after="0" w:afterAutospacing="0"/>
              <w:jc w:val="both"/>
              <w:textAlignment w:val="baseline"/>
              <w:rPr>
                <w:rFonts w:ascii="Times New Roman" w:hAnsi="Times New Roman" w:cs="Times New Roman"/>
                <w:sz w:val="20"/>
                <w:szCs w:val="20"/>
              </w:rPr>
            </w:pPr>
            <w:r w:rsidRPr="00FA3FC4">
              <w:rPr>
                <w:rFonts w:ascii="Times New Roman" w:hAnsi="Times New Roman" w:cs="Times New Roman"/>
                <w:sz w:val="20"/>
                <w:szCs w:val="20"/>
                <w:highlight w:val="yellow"/>
              </w:rPr>
              <w:t>Legacy UEs (i.e. Rel-17 and Rel-18 UEs) are not expected to be able to camp on a cell with SS/PBCH blocks periodicity larger than 160 ms.</w:t>
            </w:r>
          </w:p>
        </w:tc>
      </w:tr>
    </w:tbl>
    <w:p w14:paraId="43E20A0A" w14:textId="77777777" w:rsidR="00C40958" w:rsidRDefault="00C40958" w:rsidP="00C40958">
      <w:pPr>
        <w:spacing w:before="240"/>
        <w:rPr>
          <w:lang w:val="en-US"/>
        </w:rPr>
      </w:pPr>
      <w:r>
        <w:rPr>
          <w:lang w:val="en-US"/>
        </w:rPr>
        <w:t xml:space="preserve">RAN1 agreement here is slightly ambiguous since it states that backwards compatibility is not guaranteed, but that a UE is only not able to camp on a cell with periodicity </w:t>
      </w:r>
      <w:r w:rsidRPr="00511664">
        <w:rPr>
          <w:u w:val="single"/>
          <w:lang w:val="en-US"/>
        </w:rPr>
        <w:t>longer</w:t>
      </w:r>
      <w:r>
        <w:rPr>
          <w:lang w:val="en-US"/>
        </w:rPr>
        <w:t xml:space="preserve"> than 160 ms. One issue for backwards compatibility is the MIB, as we raise in section 2.1.1, but we are </w:t>
      </w:r>
      <w:r w:rsidRPr="63C7D12B">
        <w:rPr>
          <w:lang w:val="en-US"/>
        </w:rPr>
        <w:t>of the firm believe that</w:t>
      </w:r>
      <w:r>
        <w:rPr>
          <w:lang w:val="en-US"/>
        </w:rPr>
        <w:t xml:space="preserve"> if a good UE implementation </w:t>
      </w:r>
      <w:proofErr w:type="gramStart"/>
      <w:r>
        <w:rPr>
          <w:lang w:val="en-US"/>
        </w:rPr>
        <w:t>is able to</w:t>
      </w:r>
      <w:proofErr w:type="gramEnd"/>
      <w:r>
        <w:rPr>
          <w:lang w:val="en-US"/>
        </w:rPr>
        <w:t xml:space="preserve"> perform a successful initial scan</w:t>
      </w:r>
      <w:r w:rsidRPr="63C7D12B">
        <w:rPr>
          <w:lang w:val="en-US"/>
        </w:rPr>
        <w:t xml:space="preserve"> it should be allowed </w:t>
      </w:r>
      <w:r>
        <w:rPr>
          <w:lang w:val="en-US"/>
        </w:rPr>
        <w:t>camp best e</w:t>
      </w:r>
      <w:r w:rsidRPr="63C7D12B">
        <w:rPr>
          <w:lang w:val="en-US"/>
        </w:rPr>
        <w:t>ffort.</w:t>
      </w:r>
    </w:p>
    <w:p w14:paraId="51A7FA6C" w14:textId="7DFF08B1" w:rsidR="00C40958" w:rsidRPr="00511664" w:rsidRDefault="00C40958" w:rsidP="00C40958">
      <w:pPr>
        <w:spacing w:before="240"/>
        <w:rPr>
          <w:b/>
          <w:bCs/>
          <w:lang w:val="en-US"/>
        </w:rPr>
      </w:pPr>
      <w:r w:rsidRPr="00511664">
        <w:rPr>
          <w:b/>
          <w:bCs/>
          <w:lang w:val="en-US"/>
        </w:rPr>
        <w:t xml:space="preserve">Observation </w:t>
      </w:r>
      <w:r w:rsidR="00406A8D">
        <w:rPr>
          <w:b/>
          <w:bCs/>
          <w:lang w:val="en-US"/>
        </w:rPr>
        <w:t>6</w:t>
      </w:r>
      <w:r w:rsidRPr="00511664">
        <w:rPr>
          <w:b/>
          <w:bCs/>
          <w:lang w:val="en-US"/>
        </w:rPr>
        <w:t>: A legacy UE may be able to camp on a cell with SS/PBCH blocks periodicity at 160 ms or below.</w:t>
      </w:r>
    </w:p>
    <w:p w14:paraId="343EE471" w14:textId="010724C2" w:rsidR="00C40958" w:rsidRPr="00511664" w:rsidRDefault="00C40958" w:rsidP="00C40958">
      <w:pPr>
        <w:spacing w:before="240"/>
        <w:rPr>
          <w:b/>
          <w:bCs/>
          <w:lang w:val="en-US"/>
        </w:rPr>
      </w:pPr>
      <w:r w:rsidRPr="00511664">
        <w:rPr>
          <w:b/>
          <w:bCs/>
          <w:lang w:val="en-US"/>
        </w:rPr>
        <w:t xml:space="preserve">Observation </w:t>
      </w:r>
      <w:r w:rsidR="00406A8D">
        <w:rPr>
          <w:b/>
          <w:bCs/>
          <w:lang w:val="en-US"/>
        </w:rPr>
        <w:t>7</w:t>
      </w:r>
      <w:r w:rsidRPr="00511664">
        <w:rPr>
          <w:b/>
          <w:bCs/>
          <w:lang w:val="en-US"/>
        </w:rPr>
        <w:t xml:space="preserve">: There should be no reason not to allow a UE to camp on a cell it can </w:t>
      </w:r>
      <w:r w:rsidR="00921D0D">
        <w:rPr>
          <w:b/>
          <w:bCs/>
          <w:lang w:val="en-US"/>
        </w:rPr>
        <w:t>detect</w:t>
      </w:r>
      <w:r w:rsidRPr="00511664">
        <w:rPr>
          <w:b/>
          <w:bCs/>
          <w:lang w:val="en-US"/>
        </w:rPr>
        <w:t>.</w:t>
      </w:r>
    </w:p>
    <w:p w14:paraId="0E417AC4" w14:textId="3591E79F" w:rsidR="00C40958" w:rsidRPr="00C40958" w:rsidRDefault="00C40958" w:rsidP="00C40958">
      <w:pPr>
        <w:spacing w:before="240"/>
        <w:rPr>
          <w:b/>
          <w:bCs/>
          <w:lang w:val="en-US"/>
        </w:rPr>
      </w:pPr>
      <w:r w:rsidRPr="00511664">
        <w:rPr>
          <w:b/>
          <w:bCs/>
          <w:lang w:val="en-US"/>
        </w:rPr>
        <w:t xml:space="preserve">Proposal </w:t>
      </w:r>
      <w:r w:rsidR="00530894">
        <w:rPr>
          <w:b/>
          <w:bCs/>
          <w:lang w:val="en-US"/>
        </w:rPr>
        <w:t>6</w:t>
      </w:r>
      <w:r w:rsidRPr="00511664">
        <w:rPr>
          <w:b/>
          <w:bCs/>
          <w:lang w:val="en-US"/>
        </w:rPr>
        <w:t>: RAN2 not to introduce barring bits for DL CE.</w:t>
      </w:r>
    </w:p>
    <w:p w14:paraId="4D09DE9E" w14:textId="061E3B57" w:rsidR="00FB58BC" w:rsidRPr="00D7307F" w:rsidRDefault="00FB58BC" w:rsidP="00FB58BC">
      <w:pPr>
        <w:pStyle w:val="Heading3"/>
      </w:pPr>
      <w:r>
        <w:t>2.</w:t>
      </w:r>
      <w:r w:rsidR="00927842">
        <w:t>4</w:t>
      </w:r>
      <w:r>
        <w:tab/>
        <w:t>MIB impact</w:t>
      </w:r>
    </w:p>
    <w:p w14:paraId="0EAE2346" w14:textId="77777777" w:rsidR="00FB58BC" w:rsidRPr="00A6742D" w:rsidRDefault="00FB58BC" w:rsidP="00FB58BC">
      <w:r>
        <w:t xml:space="preserve">For the SSB extension we believe it is important to note that in 38.331 the following is </w:t>
      </w:r>
      <w:proofErr w:type="gramStart"/>
      <w:r>
        <w:t>specified;</w:t>
      </w:r>
      <w:proofErr w:type="gramEnd"/>
      <w:r w:rsidDel="00F61597">
        <w:t xml:space="preserve"> </w:t>
      </w:r>
    </w:p>
    <w:tbl>
      <w:tblPr>
        <w:tblStyle w:val="TableGrid"/>
        <w:tblW w:w="0" w:type="auto"/>
        <w:tblLook w:val="04A0" w:firstRow="1" w:lastRow="0" w:firstColumn="1" w:lastColumn="0" w:noHBand="0" w:noVBand="1"/>
      </w:tblPr>
      <w:tblGrid>
        <w:gridCol w:w="9631"/>
      </w:tblGrid>
      <w:tr w:rsidR="00FB58BC" w14:paraId="4A802EA9" w14:textId="77777777" w:rsidTr="008E536C">
        <w:tc>
          <w:tcPr>
            <w:tcW w:w="9631" w:type="dxa"/>
          </w:tcPr>
          <w:p w14:paraId="498C0008" w14:textId="77777777" w:rsidR="00FB58BC" w:rsidRPr="006D48E8" w:rsidRDefault="00FB58BC" w:rsidP="008E536C">
            <w:pPr>
              <w:rPr>
                <w:b/>
                <w:bCs/>
                <w:lang w:val="en-US"/>
              </w:rPr>
            </w:pPr>
            <w:r w:rsidRPr="006D48E8">
              <w:rPr>
                <w:b/>
                <w:bCs/>
                <w:lang w:val="en-US"/>
              </w:rPr>
              <w:lastRenderedPageBreak/>
              <w:t>5.2.1      Introduction</w:t>
            </w:r>
          </w:p>
          <w:p w14:paraId="1AEA1750" w14:textId="77777777" w:rsidR="00FB58BC" w:rsidRPr="006D48E8" w:rsidRDefault="00FB58BC" w:rsidP="008E536C">
            <w:pPr>
              <w:rPr>
                <w:lang w:val="en-US"/>
              </w:rPr>
            </w:pPr>
            <w:bookmarkStart w:id="2" w:name="_Hlk178674331"/>
            <w:r w:rsidRPr="006D48E8">
              <w:rPr>
                <w:lang w:val="en-US"/>
              </w:rPr>
              <w:t xml:space="preserve">System Information (SI) is divided into the </w:t>
            </w:r>
            <w:r w:rsidRPr="006D48E8">
              <w:rPr>
                <w:i/>
                <w:iCs/>
                <w:lang w:val="en-US"/>
              </w:rPr>
              <w:t>MIB</w:t>
            </w:r>
            <w:r w:rsidRPr="006D48E8">
              <w:rPr>
                <w:lang w:val="en-US"/>
              </w:rPr>
              <w:t xml:space="preserve"> </w:t>
            </w:r>
            <w:bookmarkEnd w:id="2"/>
            <w:r w:rsidRPr="006D48E8">
              <w:rPr>
                <w:lang w:val="en-US"/>
              </w:rPr>
              <w:t xml:space="preserve">and </w:t>
            </w:r>
            <w:proofErr w:type="gramStart"/>
            <w:r w:rsidRPr="006D48E8">
              <w:rPr>
                <w:lang w:val="en-US"/>
              </w:rPr>
              <w:t>a number of</w:t>
            </w:r>
            <w:proofErr w:type="gramEnd"/>
            <w:r w:rsidRPr="006D48E8">
              <w:rPr>
                <w:lang w:val="en-US"/>
              </w:rPr>
              <w:t xml:space="preserve"> SIBs and posSIBs where:</w:t>
            </w:r>
          </w:p>
          <w:p w14:paraId="218D1AD3" w14:textId="77777777" w:rsidR="00FB58BC" w:rsidRPr="006D48E8" w:rsidRDefault="00FB58BC" w:rsidP="008E536C">
            <w:pPr>
              <w:rPr>
                <w:lang w:val="en-US"/>
              </w:rPr>
            </w:pPr>
            <w:r w:rsidRPr="006D48E8">
              <w:rPr>
                <w:lang w:val="en-US"/>
              </w:rPr>
              <w:t xml:space="preserve">-    the </w:t>
            </w:r>
            <w:r w:rsidRPr="006D48E8">
              <w:rPr>
                <w:i/>
                <w:iCs/>
                <w:highlight w:val="yellow"/>
                <w:lang w:val="en-US"/>
              </w:rPr>
              <w:t>MIB</w:t>
            </w:r>
            <w:r w:rsidRPr="006D48E8">
              <w:rPr>
                <w:highlight w:val="yellow"/>
                <w:lang w:val="en-US"/>
              </w:rPr>
              <w:t xml:space="preserve"> is always transmitted on the BCH with a periodicity of 80 ms and repetitions made within 80 ms</w:t>
            </w:r>
            <w:r w:rsidRPr="006D48E8">
              <w:rPr>
                <w:lang w:val="en-US"/>
              </w:rPr>
              <w:t xml:space="preserve"> (TS 38.212 [17], clause 7.1) and it includes parameters that are needed to acquire </w:t>
            </w:r>
            <w:r w:rsidRPr="006D48E8">
              <w:rPr>
                <w:i/>
                <w:iCs/>
                <w:lang w:val="en-US"/>
              </w:rPr>
              <w:t>SIB1</w:t>
            </w:r>
            <w:r w:rsidRPr="006D48E8">
              <w:rPr>
                <w:lang w:val="en-US"/>
              </w:rPr>
              <w:t xml:space="preserve"> from the cell. The first transmission of the </w:t>
            </w:r>
            <w:r w:rsidRPr="006D48E8">
              <w:rPr>
                <w:i/>
                <w:iCs/>
                <w:lang w:val="en-US"/>
              </w:rPr>
              <w:t>MIB</w:t>
            </w:r>
            <w:r w:rsidRPr="006D48E8">
              <w:rPr>
                <w:lang w:val="en-US"/>
              </w:rPr>
              <w:t xml:space="preserve"> is scheduled in subframes as defined in TS 38.213 [13], clause 4.1 and </w:t>
            </w:r>
            <w:r w:rsidRPr="004F3258">
              <w:rPr>
                <w:highlight w:val="yellow"/>
                <w:lang w:val="en-US"/>
              </w:rPr>
              <w:t xml:space="preserve">repetitions are scheduled according to the period of </w:t>
            </w:r>
            <w:proofErr w:type="gramStart"/>
            <w:r w:rsidRPr="004F3258">
              <w:rPr>
                <w:highlight w:val="yellow"/>
                <w:lang w:val="en-US"/>
              </w:rPr>
              <w:t>SSB</w:t>
            </w:r>
            <w:r w:rsidRPr="006D48E8">
              <w:rPr>
                <w:lang w:val="en-US"/>
              </w:rPr>
              <w:t>;</w:t>
            </w:r>
            <w:proofErr w:type="gramEnd"/>
          </w:p>
          <w:p w14:paraId="3D4AE46C" w14:textId="77777777" w:rsidR="00FB58BC" w:rsidRPr="006D48E8" w:rsidRDefault="00FB58BC" w:rsidP="008E536C">
            <w:pPr>
              <w:rPr>
                <w:lang w:val="en-US"/>
              </w:rPr>
            </w:pPr>
            <w:r w:rsidRPr="006D48E8">
              <w:rPr>
                <w:lang w:val="en-US"/>
              </w:rPr>
              <w:t xml:space="preserve">NOTE 1:  </w:t>
            </w:r>
            <w:r w:rsidRPr="006D48E8">
              <w:rPr>
                <w:highlight w:val="yellow"/>
                <w:lang w:val="en-US"/>
              </w:rPr>
              <w:t>If the period of SSB is larger than 80 ms, the MIB is transmitted with the same periodicity as that of SSB</w:t>
            </w:r>
            <w:r w:rsidRPr="006D48E8">
              <w:rPr>
                <w:lang w:val="en-US"/>
              </w:rPr>
              <w:t>.</w:t>
            </w:r>
          </w:p>
          <w:p w14:paraId="7D29DFEB" w14:textId="77777777" w:rsidR="00FB58BC" w:rsidRDefault="00FB58BC" w:rsidP="008E536C">
            <w:pPr>
              <w:rPr>
                <w:lang w:val="en-US"/>
              </w:rPr>
            </w:pPr>
            <w:r w:rsidRPr="006D48E8">
              <w:rPr>
                <w:lang w:val="en-US"/>
              </w:rPr>
              <w:t xml:space="preserve">-    the </w:t>
            </w:r>
            <w:r w:rsidRPr="006D48E8">
              <w:rPr>
                <w:i/>
                <w:iCs/>
                <w:lang w:val="en-US"/>
              </w:rPr>
              <w:t>SIB1</w:t>
            </w:r>
            <w:r w:rsidRPr="006D48E8">
              <w:rPr>
                <w:lang w:val="en-US"/>
              </w:rPr>
              <w:t xml:space="preserve"> is transmitted on the DL-SCH with a periodicity of 160 ms and variable transmission repetition periodicity within 160 ms as specified in TS 38.213 [13], clause 13. The default transmission repetition periodicity of </w:t>
            </w:r>
            <w:r w:rsidRPr="006D48E8">
              <w:rPr>
                <w:i/>
                <w:iCs/>
                <w:lang w:val="en-US"/>
              </w:rPr>
              <w:t>SIB1</w:t>
            </w:r>
            <w:r w:rsidRPr="006D48E8">
              <w:rPr>
                <w:lang w:val="en-US"/>
              </w:rPr>
              <w:t xml:space="preserve"> is 20 ms but the actual transmission repetition periodicity is up to network implementation. </w:t>
            </w:r>
            <w:r w:rsidRPr="00D17E0C">
              <w:rPr>
                <w:highlight w:val="cyan"/>
                <w:lang w:val="en-US"/>
              </w:rPr>
              <w:t xml:space="preserve">For SSB and CORESET multiplexing pattern 1, </w:t>
            </w:r>
            <w:r w:rsidRPr="00D17E0C">
              <w:rPr>
                <w:i/>
                <w:highlight w:val="cyan"/>
                <w:lang w:val="en-US"/>
              </w:rPr>
              <w:t>SIB1</w:t>
            </w:r>
            <w:r w:rsidRPr="00D17E0C">
              <w:rPr>
                <w:highlight w:val="cyan"/>
                <w:lang w:val="en-US"/>
              </w:rPr>
              <w:t xml:space="preserve"> repetition transmission period is 20 ms</w:t>
            </w:r>
            <w:r w:rsidRPr="006D48E8">
              <w:rPr>
                <w:lang w:val="en-US"/>
              </w:rPr>
              <w:t xml:space="preserve">. For SSB and CORESET multiplexing pattern 2/3, </w:t>
            </w:r>
            <w:r w:rsidRPr="006D48E8">
              <w:rPr>
                <w:i/>
                <w:iCs/>
                <w:lang w:val="en-US"/>
              </w:rPr>
              <w:t>SIB1</w:t>
            </w:r>
            <w:r w:rsidRPr="006D48E8">
              <w:rPr>
                <w:lang w:val="en-US"/>
              </w:rPr>
              <w:t xml:space="preserve"> transmission repetition period is the same as the SSB period (TS 38.213 [13], clause 13). </w:t>
            </w:r>
            <w:r w:rsidRPr="006D48E8">
              <w:rPr>
                <w:i/>
                <w:iCs/>
                <w:lang w:val="en-US"/>
              </w:rPr>
              <w:t>SIB1</w:t>
            </w:r>
            <w:r w:rsidRPr="006D48E8">
              <w:rPr>
                <w:lang w:val="en-US"/>
              </w:rPr>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6D48E8">
              <w:rPr>
                <w:i/>
                <w:iCs/>
                <w:lang w:val="en-US"/>
              </w:rPr>
              <w:t>SIB1</w:t>
            </w:r>
            <w:r w:rsidRPr="006D48E8">
              <w:rPr>
                <w:lang w:val="en-US"/>
              </w:rPr>
              <w:t xml:space="preserve"> is cell-specific SIB;</w:t>
            </w:r>
          </w:p>
        </w:tc>
      </w:tr>
    </w:tbl>
    <w:p w14:paraId="328ADFA3" w14:textId="77777777" w:rsidR="00FB58BC" w:rsidRDefault="00FB58BC" w:rsidP="00FB58BC">
      <w:pPr>
        <w:jc w:val="both"/>
        <w:rPr>
          <w:lang w:val="en-US"/>
        </w:rPr>
      </w:pPr>
    </w:p>
    <w:p w14:paraId="14B24CAE" w14:textId="77777777" w:rsidR="00FB58BC" w:rsidRDefault="00FB58BC" w:rsidP="00FB58BC">
      <w:pPr>
        <w:jc w:val="both"/>
        <w:rPr>
          <w:lang w:val="en-US"/>
        </w:rPr>
      </w:pPr>
      <w:r>
        <w:rPr>
          <w:lang w:val="en-US"/>
        </w:rPr>
        <w:t>This means, that with the SSB period of up to 160 ms, there may be some impact on MIB transmission as well. A similar situation occurs with the transmission of SIB1. According to the above specification, in case of multiplexing pattern 1, SIB1 period is hard coded into 20 ms. This means that in case of SSB periodicities longer than 20 ms, the SIB1 periodicity may not follow the SSB transmissions. In our view, the specification should prevent the network from using an SSB extended periodicity (e.g., 160 ms) together with this pattern configuration. For that reason, we propose the following:</w:t>
      </w:r>
    </w:p>
    <w:p w14:paraId="1734683C" w14:textId="08B9E392" w:rsidR="00FB58BC" w:rsidRPr="006D48E8" w:rsidRDefault="00FB58BC" w:rsidP="00FB58BC">
      <w:pPr>
        <w:jc w:val="both"/>
        <w:rPr>
          <w:b/>
          <w:bCs/>
          <w:lang w:val="en-US"/>
        </w:rPr>
      </w:pPr>
      <w:r w:rsidRPr="006D48E8">
        <w:rPr>
          <w:b/>
          <w:bCs/>
          <w:lang w:val="en-US"/>
        </w:rPr>
        <w:t xml:space="preserve">Proposal </w:t>
      </w:r>
      <w:r w:rsidR="00530894">
        <w:rPr>
          <w:b/>
          <w:bCs/>
          <w:lang w:val="en-US"/>
        </w:rPr>
        <w:t>7</w:t>
      </w:r>
      <w:r w:rsidRPr="006D48E8">
        <w:rPr>
          <w:b/>
          <w:bCs/>
          <w:lang w:val="en-US"/>
        </w:rPr>
        <w:t>: RAN2 to include in the study the impact on MIB transmission and reception due to the SSB periodicity extension</w:t>
      </w:r>
      <w:r>
        <w:rPr>
          <w:b/>
          <w:bCs/>
          <w:lang w:val="en-US"/>
        </w:rPr>
        <w:t xml:space="preserve"> e.g. allowing MIB periodicity to follow SSB even for periods lower than 160 ms, and to prevent a joint configuration of CORESET multiplexing pattern 1 together with SSB periods longer than 20 ms</w:t>
      </w:r>
      <w:r w:rsidRPr="006D48E8">
        <w:rPr>
          <w:b/>
          <w:bCs/>
          <w:lang w:val="en-US"/>
        </w:rPr>
        <w:t>.</w:t>
      </w:r>
    </w:p>
    <w:p w14:paraId="0E98CBB3" w14:textId="303DC70C" w:rsidR="008B549E" w:rsidRPr="00FB58BC" w:rsidRDefault="008B549E" w:rsidP="008B549E">
      <w:pPr>
        <w:rPr>
          <w:lang w:val="en-US"/>
        </w:rPr>
      </w:pPr>
    </w:p>
    <w:p w14:paraId="16CB5684" w14:textId="77777777" w:rsidR="008B549E" w:rsidRPr="006E13D1" w:rsidRDefault="008B549E" w:rsidP="008B549E">
      <w:pPr>
        <w:pStyle w:val="Heading1"/>
      </w:pPr>
      <w:r>
        <w:t>3</w:t>
      </w:r>
      <w:r w:rsidRPr="006E13D1">
        <w:tab/>
      </w:r>
      <w:r>
        <w:t>Conclusion</w:t>
      </w:r>
    </w:p>
    <w:p w14:paraId="766D4156" w14:textId="7FD237F7" w:rsidR="008B549E" w:rsidRPr="006E13D1" w:rsidRDefault="008B549E" w:rsidP="008B549E">
      <w:r>
        <w:t>This document has made the following observations</w:t>
      </w:r>
      <w:r w:rsidR="00406A8D">
        <w:t xml:space="preserve"> and proposals</w:t>
      </w:r>
      <w:r>
        <w:t>:</w:t>
      </w:r>
    </w:p>
    <w:p w14:paraId="3EBA0634" w14:textId="77777777" w:rsidR="00406A8D" w:rsidRDefault="00406A8D" w:rsidP="00406A8D">
      <w:pPr>
        <w:rPr>
          <w:b/>
          <w:bCs/>
        </w:rPr>
      </w:pPr>
      <w:r>
        <w:rPr>
          <w:b/>
          <w:bCs/>
        </w:rPr>
        <w:t>Observation 1: In NR NTN, all cells within a measObject are configured with the same SMTC periodicity.</w:t>
      </w:r>
    </w:p>
    <w:p w14:paraId="05B68992" w14:textId="77777777" w:rsidR="00406A8D" w:rsidRPr="00274571" w:rsidRDefault="00406A8D" w:rsidP="00406A8D">
      <w:r w:rsidRPr="00EF7A99">
        <w:rPr>
          <w:b/>
          <w:bCs/>
        </w:rPr>
        <w:t xml:space="preserve">Observation </w:t>
      </w:r>
      <w:r>
        <w:rPr>
          <w:b/>
          <w:bCs/>
        </w:rPr>
        <w:t>2</w:t>
      </w:r>
      <w:r w:rsidRPr="00EF7A99">
        <w:rPr>
          <w:b/>
          <w:bCs/>
        </w:rPr>
        <w:t>: Different SSB periodicities amongst neighbor cells in the same frequency layer may cause extensive changes to legacy behaviour and require cross WG interaction.</w:t>
      </w:r>
    </w:p>
    <w:p w14:paraId="46C86820" w14:textId="2B15668E" w:rsidR="00406A8D" w:rsidRDefault="00406A8D" w:rsidP="00406A8D">
      <w:pPr>
        <w:rPr>
          <w:b/>
          <w:bCs/>
        </w:rPr>
      </w:pPr>
      <w:r>
        <w:rPr>
          <w:b/>
          <w:bCs/>
        </w:rPr>
        <w:t xml:space="preserve">Proposal 1: </w:t>
      </w:r>
      <w:r w:rsidR="00530894">
        <w:rPr>
          <w:b/>
          <w:bCs/>
        </w:rPr>
        <w:t>RAN2 to reconsider the agreement of configuring different SSBs amongst neighbouring cells in the same frequency layer due to the workload at least for the Earth Moving Cells.</w:t>
      </w:r>
    </w:p>
    <w:p w14:paraId="7A5E2593" w14:textId="21C61C09" w:rsidR="00530894" w:rsidRDefault="00530894" w:rsidP="00406A8D">
      <w:pPr>
        <w:rPr>
          <w:b/>
          <w:bCs/>
        </w:rPr>
      </w:pPr>
      <w:r w:rsidRPr="00C3143A">
        <w:rPr>
          <w:b/>
          <w:bCs/>
        </w:rPr>
        <w:t xml:space="preserve">Proposal </w:t>
      </w:r>
      <w:r>
        <w:rPr>
          <w:b/>
          <w:bCs/>
        </w:rPr>
        <w:t>2</w:t>
      </w:r>
      <w:r w:rsidRPr="00C3143A">
        <w:rPr>
          <w:b/>
          <w:bCs/>
        </w:rPr>
        <w:t xml:space="preserve">: </w:t>
      </w:r>
      <w:r w:rsidRPr="00C3143A">
        <w:rPr>
          <w:b/>
        </w:rPr>
        <w:t>RAN2 to study the possibility of setting the SSB periodicity to a lower value during mobility events in case of Earth Fixed Cells.</w:t>
      </w:r>
    </w:p>
    <w:p w14:paraId="024C1881" w14:textId="47A055BB" w:rsidR="00406A8D" w:rsidRDefault="00406A8D" w:rsidP="00406A8D">
      <w:pPr>
        <w:rPr>
          <w:b/>
          <w:bCs/>
        </w:rPr>
      </w:pPr>
      <w:r w:rsidRPr="00B05D3A">
        <w:rPr>
          <w:b/>
          <w:bCs/>
        </w:rPr>
        <w:t xml:space="preserve">Observation </w:t>
      </w:r>
      <w:r>
        <w:rPr>
          <w:b/>
          <w:bCs/>
        </w:rPr>
        <w:t>3</w:t>
      </w:r>
      <w:r w:rsidRPr="00B05D3A">
        <w:rPr>
          <w:b/>
          <w:bCs/>
        </w:rPr>
        <w:t xml:space="preserve">: In legacy operation, </w:t>
      </w:r>
      <w:r>
        <w:rPr>
          <w:b/>
          <w:bCs/>
        </w:rPr>
        <w:t xml:space="preserve">even </w:t>
      </w:r>
      <w:r w:rsidRPr="00B05D3A">
        <w:rPr>
          <w:b/>
          <w:bCs/>
        </w:rPr>
        <w:t>4 SMTCs invalidate measurements requirements.</w:t>
      </w:r>
    </w:p>
    <w:p w14:paraId="199A6456" w14:textId="131CE272" w:rsidR="00406A8D" w:rsidRDefault="00406A8D" w:rsidP="00406A8D">
      <w:r w:rsidRPr="00406A8D">
        <w:rPr>
          <w:b/>
          <w:bCs/>
        </w:rPr>
        <w:t xml:space="preserve">Observation </w:t>
      </w:r>
      <w:r>
        <w:rPr>
          <w:b/>
          <w:bCs/>
        </w:rPr>
        <w:t>4</w:t>
      </w:r>
      <w:r w:rsidRPr="00406A8D">
        <w:rPr>
          <w:b/>
          <w:bCs/>
        </w:rPr>
        <w:t>: Even with 4 SMTCs configured as legacy, RAN4 will need to adapt changes to legacy requirements.</w:t>
      </w:r>
    </w:p>
    <w:p w14:paraId="5307EED7" w14:textId="400BAB36" w:rsidR="00406A8D" w:rsidRPr="00B05D3A" w:rsidRDefault="00406A8D" w:rsidP="00406A8D">
      <w:pPr>
        <w:rPr>
          <w:b/>
          <w:bCs/>
        </w:rPr>
      </w:pPr>
      <w:r>
        <w:rPr>
          <w:b/>
          <w:bCs/>
        </w:rPr>
        <w:t>Proposal</w:t>
      </w:r>
      <w:r w:rsidRPr="00B05D3A">
        <w:rPr>
          <w:b/>
          <w:bCs/>
        </w:rPr>
        <w:t xml:space="preserve"> </w:t>
      </w:r>
      <w:r w:rsidR="00530894">
        <w:rPr>
          <w:b/>
          <w:bCs/>
        </w:rPr>
        <w:t>3</w:t>
      </w:r>
      <w:r w:rsidRPr="00B05D3A">
        <w:rPr>
          <w:b/>
          <w:bCs/>
        </w:rPr>
        <w:t>: RAN2 to define explicitly which SMTCs are required to be measured in case 4, or more SMTCs are configured.</w:t>
      </w:r>
    </w:p>
    <w:p w14:paraId="5B17C15A" w14:textId="0944260A" w:rsidR="00406A8D" w:rsidRDefault="00406A8D" w:rsidP="00406A8D">
      <w:pPr>
        <w:rPr>
          <w:b/>
          <w:bCs/>
        </w:rPr>
      </w:pPr>
      <w:r w:rsidRPr="00B05D3A">
        <w:rPr>
          <w:b/>
          <w:bCs/>
        </w:rPr>
        <w:t xml:space="preserve">Proposal </w:t>
      </w:r>
      <w:r w:rsidR="00530894">
        <w:rPr>
          <w:b/>
          <w:bCs/>
        </w:rPr>
        <w:t>4</w:t>
      </w:r>
      <w:r w:rsidRPr="00B05D3A">
        <w:rPr>
          <w:b/>
          <w:bCs/>
        </w:rPr>
        <w:t xml:space="preserve">: RAN2 to adopt a RSRP measurement approach to allowing a UE to select a subset of SMTCs to measure of the </w:t>
      </w:r>
      <w:r>
        <w:rPr>
          <w:b/>
          <w:bCs/>
        </w:rPr>
        <w:t>4, or more</w:t>
      </w:r>
      <w:r w:rsidRPr="00B05D3A">
        <w:rPr>
          <w:b/>
          <w:bCs/>
        </w:rPr>
        <w:t xml:space="preserve"> configured</w:t>
      </w:r>
      <w:r>
        <w:rPr>
          <w:b/>
          <w:bCs/>
        </w:rPr>
        <w:t xml:space="preserve"> SMTCs</w:t>
      </w:r>
      <w:r w:rsidRPr="00B05D3A">
        <w:rPr>
          <w:b/>
          <w:bCs/>
        </w:rPr>
        <w:t>.</w:t>
      </w:r>
    </w:p>
    <w:p w14:paraId="1AE02967" w14:textId="7F1DB7E8" w:rsidR="00406A8D" w:rsidRDefault="00406A8D" w:rsidP="00406A8D">
      <w:pPr>
        <w:rPr>
          <w:b/>
          <w:bCs/>
        </w:rPr>
      </w:pPr>
      <w:r w:rsidRPr="00274571">
        <w:rPr>
          <w:b/>
          <w:bCs/>
        </w:rPr>
        <w:t xml:space="preserve">Observation </w:t>
      </w:r>
      <w:r>
        <w:rPr>
          <w:b/>
          <w:bCs/>
        </w:rPr>
        <w:t>5</w:t>
      </w:r>
      <w:r w:rsidRPr="00274571">
        <w:rPr>
          <w:b/>
          <w:bCs/>
        </w:rPr>
        <w:t xml:space="preserve">: </w:t>
      </w:r>
      <w:r>
        <w:rPr>
          <w:b/>
          <w:bCs/>
        </w:rPr>
        <w:t xml:space="preserve">The relevant information for configuring the UE to measure neighbor cells that are active in a scattered manner in the same or different satellites are: periodicity and time offset. </w:t>
      </w:r>
    </w:p>
    <w:p w14:paraId="24A11F33" w14:textId="7E85FC5F" w:rsidR="00406A8D" w:rsidRDefault="00406A8D" w:rsidP="00406A8D">
      <w:pPr>
        <w:rPr>
          <w:b/>
          <w:bCs/>
        </w:rPr>
      </w:pPr>
      <w:r>
        <w:rPr>
          <w:b/>
          <w:bCs/>
        </w:rPr>
        <w:t xml:space="preserve">Proposal </w:t>
      </w:r>
      <w:r w:rsidR="00530894">
        <w:rPr>
          <w:b/>
          <w:bCs/>
        </w:rPr>
        <w:t>5</w:t>
      </w:r>
      <w:r>
        <w:rPr>
          <w:b/>
          <w:bCs/>
        </w:rPr>
        <w:t>: gNB provides the neighbor cells SSB periodicities and time offsets.</w:t>
      </w:r>
    </w:p>
    <w:p w14:paraId="6E8B1110" w14:textId="77777777" w:rsidR="00406A8D" w:rsidRPr="00511664" w:rsidRDefault="00406A8D" w:rsidP="00406A8D">
      <w:pPr>
        <w:spacing w:before="240"/>
        <w:rPr>
          <w:b/>
          <w:bCs/>
          <w:lang w:val="en-US"/>
        </w:rPr>
      </w:pPr>
      <w:r w:rsidRPr="00511664">
        <w:rPr>
          <w:b/>
          <w:bCs/>
          <w:lang w:val="en-US"/>
        </w:rPr>
        <w:lastRenderedPageBreak/>
        <w:t xml:space="preserve">Observation </w:t>
      </w:r>
      <w:r>
        <w:rPr>
          <w:b/>
          <w:bCs/>
          <w:lang w:val="en-US"/>
        </w:rPr>
        <w:t>6</w:t>
      </w:r>
      <w:r w:rsidRPr="00511664">
        <w:rPr>
          <w:b/>
          <w:bCs/>
          <w:lang w:val="en-US"/>
        </w:rPr>
        <w:t>: A legacy UE may be able to camp on a cell with SS/PBCH blocks periodicity at 160 ms or below.</w:t>
      </w:r>
    </w:p>
    <w:p w14:paraId="681A8381" w14:textId="77777777" w:rsidR="00406A8D" w:rsidRPr="00511664" w:rsidRDefault="00406A8D" w:rsidP="00406A8D">
      <w:pPr>
        <w:spacing w:before="240"/>
        <w:rPr>
          <w:b/>
          <w:bCs/>
          <w:lang w:val="en-US"/>
        </w:rPr>
      </w:pPr>
      <w:r w:rsidRPr="00511664">
        <w:rPr>
          <w:b/>
          <w:bCs/>
          <w:lang w:val="en-US"/>
        </w:rPr>
        <w:t xml:space="preserve">Observation </w:t>
      </w:r>
      <w:r>
        <w:rPr>
          <w:b/>
          <w:bCs/>
          <w:lang w:val="en-US"/>
        </w:rPr>
        <w:t>7</w:t>
      </w:r>
      <w:r w:rsidRPr="00511664">
        <w:rPr>
          <w:b/>
          <w:bCs/>
          <w:lang w:val="en-US"/>
        </w:rPr>
        <w:t xml:space="preserve">: There should be no reason not to allow a UE to camp on a cell it can </w:t>
      </w:r>
      <w:r>
        <w:rPr>
          <w:b/>
          <w:bCs/>
          <w:lang w:val="en-US"/>
        </w:rPr>
        <w:t>detect</w:t>
      </w:r>
      <w:r w:rsidRPr="00511664">
        <w:rPr>
          <w:b/>
          <w:bCs/>
          <w:lang w:val="en-US"/>
        </w:rPr>
        <w:t>.</w:t>
      </w:r>
    </w:p>
    <w:p w14:paraId="5C33CCE5" w14:textId="43737A67" w:rsidR="00406A8D" w:rsidRPr="00C40958" w:rsidRDefault="00406A8D" w:rsidP="00406A8D">
      <w:pPr>
        <w:spacing w:before="240"/>
        <w:rPr>
          <w:b/>
          <w:bCs/>
          <w:lang w:val="en-US"/>
        </w:rPr>
      </w:pPr>
      <w:r w:rsidRPr="00511664">
        <w:rPr>
          <w:b/>
          <w:bCs/>
          <w:lang w:val="en-US"/>
        </w:rPr>
        <w:t xml:space="preserve">Proposal </w:t>
      </w:r>
      <w:r w:rsidR="00530894">
        <w:rPr>
          <w:b/>
          <w:bCs/>
          <w:lang w:val="en-US"/>
        </w:rPr>
        <w:t>6</w:t>
      </w:r>
      <w:r w:rsidRPr="00511664">
        <w:rPr>
          <w:b/>
          <w:bCs/>
          <w:lang w:val="en-US"/>
        </w:rPr>
        <w:t>: RAN2 not to introduce barring bits for DL CE.</w:t>
      </w:r>
    </w:p>
    <w:p w14:paraId="1086C14F" w14:textId="6388894D" w:rsidR="008B549E" w:rsidRPr="00406A8D" w:rsidRDefault="00406A8D" w:rsidP="008B549E">
      <w:pPr>
        <w:rPr>
          <w:lang w:val="en-US"/>
        </w:rPr>
      </w:pPr>
      <w:r w:rsidRPr="006D48E8">
        <w:rPr>
          <w:b/>
          <w:bCs/>
          <w:lang w:val="en-US"/>
        </w:rPr>
        <w:t xml:space="preserve">Proposal </w:t>
      </w:r>
      <w:r w:rsidR="00530894">
        <w:rPr>
          <w:b/>
          <w:bCs/>
          <w:lang w:val="en-US"/>
        </w:rPr>
        <w:t>7</w:t>
      </w:r>
      <w:r w:rsidRPr="006D48E8">
        <w:rPr>
          <w:b/>
          <w:bCs/>
          <w:lang w:val="en-US"/>
        </w:rPr>
        <w:t>: RAN2 to include in the study the impact on MIB transmission and reception due to the SSB periodicity extension</w:t>
      </w:r>
      <w:r>
        <w:rPr>
          <w:b/>
          <w:bCs/>
          <w:lang w:val="en-US"/>
        </w:rPr>
        <w:t xml:space="preserve"> e.g. allowing MIB periodicity to follow SSB even for periods lower than 160 ms, and to prevent a joint configuration of CORESET multiplexing pattern 1 together with SSB periods longer than 20 ms</w:t>
      </w:r>
      <w:r w:rsidRPr="006D48E8">
        <w:rPr>
          <w:b/>
          <w:bCs/>
          <w:lang w:val="en-US"/>
        </w:rPr>
        <w:t>.</w:t>
      </w:r>
    </w:p>
    <w:p w14:paraId="35F222F4" w14:textId="77777777" w:rsidR="00080512" w:rsidRPr="005A5862" w:rsidRDefault="00080512" w:rsidP="008B549E">
      <w:pPr>
        <w:pStyle w:val="CRCoverPage"/>
        <w:tabs>
          <w:tab w:val="left" w:pos="1985"/>
        </w:tabs>
      </w:pPr>
    </w:p>
    <w:sectPr w:rsidR="00080512" w:rsidRPr="005A5862">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9DD86" w14:textId="77777777" w:rsidR="00775EC8" w:rsidRDefault="00775EC8">
      <w:r>
        <w:separator/>
      </w:r>
    </w:p>
  </w:endnote>
  <w:endnote w:type="continuationSeparator" w:id="0">
    <w:p w14:paraId="282549FE" w14:textId="77777777" w:rsidR="00775EC8" w:rsidRDefault="00775EC8">
      <w:r>
        <w:continuationSeparator/>
      </w:r>
    </w:p>
  </w:endnote>
  <w:endnote w:type="continuationNotice" w:id="1">
    <w:p w14:paraId="0B4CE1AE" w14:textId="77777777" w:rsidR="00775EC8" w:rsidRDefault="00775E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4A60D" w14:textId="77777777" w:rsidR="00775EC8" w:rsidRDefault="00775EC8">
      <w:r>
        <w:separator/>
      </w:r>
    </w:p>
  </w:footnote>
  <w:footnote w:type="continuationSeparator" w:id="0">
    <w:p w14:paraId="2C2D0BD4" w14:textId="77777777" w:rsidR="00775EC8" w:rsidRDefault="00775EC8">
      <w:r>
        <w:continuationSeparator/>
      </w:r>
    </w:p>
  </w:footnote>
  <w:footnote w:type="continuationNotice" w:id="1">
    <w:p w14:paraId="3EB2B379" w14:textId="77777777" w:rsidR="00775EC8" w:rsidRDefault="00775E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442EE"/>
    <w:multiLevelType w:val="hybridMultilevel"/>
    <w:tmpl w:val="868058BA"/>
    <w:lvl w:ilvl="0" w:tplc="A3C07400">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D2E6151"/>
    <w:multiLevelType w:val="hybridMultilevel"/>
    <w:tmpl w:val="7AC4299C"/>
    <w:lvl w:ilvl="0" w:tplc="A3C07400">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C4D6F0B"/>
    <w:multiLevelType w:val="hybridMultilevel"/>
    <w:tmpl w:val="7FFA21F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57559F17"/>
    <w:multiLevelType w:val="hybridMultilevel"/>
    <w:tmpl w:val="9CD6492E"/>
    <w:lvl w:ilvl="0" w:tplc="D10E85B2">
      <w:start w:val="1"/>
      <w:numFmt w:val="bullet"/>
      <w:lvlText w:val="·"/>
      <w:lvlJc w:val="left"/>
      <w:pPr>
        <w:ind w:left="720" w:hanging="360"/>
      </w:pPr>
      <w:rPr>
        <w:rFonts w:ascii="Symbol" w:hAnsi="Symbol" w:hint="default"/>
      </w:rPr>
    </w:lvl>
    <w:lvl w:ilvl="1" w:tplc="8AE4D0A2">
      <w:start w:val="1"/>
      <w:numFmt w:val="bullet"/>
      <w:lvlText w:val="o"/>
      <w:lvlJc w:val="left"/>
      <w:pPr>
        <w:ind w:left="1440" w:hanging="360"/>
      </w:pPr>
      <w:rPr>
        <w:rFonts w:ascii="Courier New" w:hAnsi="Courier New" w:hint="default"/>
      </w:rPr>
    </w:lvl>
    <w:lvl w:ilvl="2" w:tplc="7B6C7E12">
      <w:start w:val="1"/>
      <w:numFmt w:val="bullet"/>
      <w:lvlText w:val=""/>
      <w:lvlJc w:val="left"/>
      <w:pPr>
        <w:ind w:left="2160" w:hanging="360"/>
      </w:pPr>
      <w:rPr>
        <w:rFonts w:ascii="Wingdings" w:hAnsi="Wingdings" w:hint="default"/>
      </w:rPr>
    </w:lvl>
    <w:lvl w:ilvl="3" w:tplc="11426F42">
      <w:start w:val="1"/>
      <w:numFmt w:val="bullet"/>
      <w:lvlText w:val=""/>
      <w:lvlJc w:val="left"/>
      <w:pPr>
        <w:ind w:left="2880" w:hanging="360"/>
      </w:pPr>
      <w:rPr>
        <w:rFonts w:ascii="Symbol" w:hAnsi="Symbol" w:hint="default"/>
      </w:rPr>
    </w:lvl>
    <w:lvl w:ilvl="4" w:tplc="ADE81566">
      <w:start w:val="1"/>
      <w:numFmt w:val="bullet"/>
      <w:lvlText w:val="o"/>
      <w:lvlJc w:val="left"/>
      <w:pPr>
        <w:ind w:left="3600" w:hanging="360"/>
      </w:pPr>
      <w:rPr>
        <w:rFonts w:ascii="Courier New" w:hAnsi="Courier New" w:hint="default"/>
      </w:rPr>
    </w:lvl>
    <w:lvl w:ilvl="5" w:tplc="688C24FE">
      <w:start w:val="1"/>
      <w:numFmt w:val="bullet"/>
      <w:lvlText w:val=""/>
      <w:lvlJc w:val="left"/>
      <w:pPr>
        <w:ind w:left="4320" w:hanging="360"/>
      </w:pPr>
      <w:rPr>
        <w:rFonts w:ascii="Wingdings" w:hAnsi="Wingdings" w:hint="default"/>
      </w:rPr>
    </w:lvl>
    <w:lvl w:ilvl="6" w:tplc="7AF47286">
      <w:start w:val="1"/>
      <w:numFmt w:val="bullet"/>
      <w:lvlText w:val=""/>
      <w:lvlJc w:val="left"/>
      <w:pPr>
        <w:ind w:left="5040" w:hanging="360"/>
      </w:pPr>
      <w:rPr>
        <w:rFonts w:ascii="Symbol" w:hAnsi="Symbol" w:hint="default"/>
      </w:rPr>
    </w:lvl>
    <w:lvl w:ilvl="7" w:tplc="F38036BE">
      <w:start w:val="1"/>
      <w:numFmt w:val="bullet"/>
      <w:lvlText w:val="o"/>
      <w:lvlJc w:val="left"/>
      <w:pPr>
        <w:ind w:left="5760" w:hanging="360"/>
      </w:pPr>
      <w:rPr>
        <w:rFonts w:ascii="Courier New" w:hAnsi="Courier New" w:hint="default"/>
      </w:rPr>
    </w:lvl>
    <w:lvl w:ilvl="8" w:tplc="78A60734">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A8807BC"/>
    <w:multiLevelType w:val="hybridMultilevel"/>
    <w:tmpl w:val="ED0EF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A4EC7"/>
    <w:multiLevelType w:val="hybridMultilevel"/>
    <w:tmpl w:val="DD48ACF8"/>
    <w:lvl w:ilvl="0" w:tplc="A3C07400">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C883E8B"/>
    <w:multiLevelType w:val="hybridMultilevel"/>
    <w:tmpl w:val="C5FAACC2"/>
    <w:lvl w:ilvl="0" w:tplc="1AB4D26A">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03942984">
    <w:abstractNumId w:val="19"/>
  </w:num>
  <w:num w:numId="2"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89253310">
    <w:abstractNumId w:val="11"/>
  </w:num>
  <w:num w:numId="5" w16cid:durableId="199124208">
    <w:abstractNumId w:val="16"/>
  </w:num>
  <w:num w:numId="6" w16cid:durableId="630793192">
    <w:abstractNumId w:val="15"/>
  </w:num>
  <w:num w:numId="7" w16cid:durableId="1154301696">
    <w:abstractNumId w:val="17"/>
  </w:num>
  <w:num w:numId="8" w16cid:durableId="1489399165">
    <w:abstractNumId w:val="18"/>
  </w:num>
  <w:num w:numId="9" w16cid:durableId="1495876256">
    <w:abstractNumId w:val="9"/>
  </w:num>
  <w:num w:numId="10" w16cid:durableId="441074845">
    <w:abstractNumId w:val="7"/>
  </w:num>
  <w:num w:numId="11" w16cid:durableId="431705991">
    <w:abstractNumId w:val="6"/>
  </w:num>
  <w:num w:numId="12" w16cid:durableId="1559823138">
    <w:abstractNumId w:val="5"/>
  </w:num>
  <w:num w:numId="13" w16cid:durableId="1777091386">
    <w:abstractNumId w:val="4"/>
  </w:num>
  <w:num w:numId="14" w16cid:durableId="754859990">
    <w:abstractNumId w:val="8"/>
  </w:num>
  <w:num w:numId="15" w16cid:durableId="685982631">
    <w:abstractNumId w:val="3"/>
  </w:num>
  <w:num w:numId="16" w16cid:durableId="1806268356">
    <w:abstractNumId w:val="2"/>
  </w:num>
  <w:num w:numId="17" w16cid:durableId="1176116058">
    <w:abstractNumId w:val="1"/>
  </w:num>
  <w:num w:numId="18" w16cid:durableId="655106882">
    <w:abstractNumId w:val="0"/>
  </w:num>
  <w:num w:numId="19" w16cid:durableId="1012296932">
    <w:abstractNumId w:val="20"/>
  </w:num>
  <w:num w:numId="20" w16cid:durableId="385643931">
    <w:abstractNumId w:val="20"/>
  </w:num>
  <w:num w:numId="21" w16cid:durableId="977488880">
    <w:abstractNumId w:val="23"/>
  </w:num>
  <w:num w:numId="22" w16cid:durableId="1587878908">
    <w:abstractNumId w:val="12"/>
  </w:num>
  <w:num w:numId="23" w16cid:durableId="19285413">
    <w:abstractNumId w:val="22"/>
  </w:num>
  <w:num w:numId="24" w16cid:durableId="137722030">
    <w:abstractNumId w:val="13"/>
  </w:num>
  <w:num w:numId="25" w16cid:durableId="1805804840">
    <w:abstractNumId w:val="21"/>
  </w:num>
  <w:num w:numId="26" w16cid:durableId="158814877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D31"/>
    <w:rsid w:val="00002DA7"/>
    <w:rsid w:val="000046CB"/>
    <w:rsid w:val="00004E83"/>
    <w:rsid w:val="0000670A"/>
    <w:rsid w:val="00006C10"/>
    <w:rsid w:val="000145A1"/>
    <w:rsid w:val="0001593A"/>
    <w:rsid w:val="00016557"/>
    <w:rsid w:val="0002041F"/>
    <w:rsid w:val="0002124C"/>
    <w:rsid w:val="00021420"/>
    <w:rsid w:val="00023C40"/>
    <w:rsid w:val="0002507D"/>
    <w:rsid w:val="000267CD"/>
    <w:rsid w:val="00033397"/>
    <w:rsid w:val="00034C39"/>
    <w:rsid w:val="00040095"/>
    <w:rsid w:val="000418DD"/>
    <w:rsid w:val="000443C8"/>
    <w:rsid w:val="00045230"/>
    <w:rsid w:val="0004686C"/>
    <w:rsid w:val="00051B75"/>
    <w:rsid w:val="000524E0"/>
    <w:rsid w:val="000550D2"/>
    <w:rsid w:val="00056CF9"/>
    <w:rsid w:val="00063931"/>
    <w:rsid w:val="00063EBE"/>
    <w:rsid w:val="00065268"/>
    <w:rsid w:val="000653E7"/>
    <w:rsid w:val="0007092E"/>
    <w:rsid w:val="00071ACC"/>
    <w:rsid w:val="00073C9C"/>
    <w:rsid w:val="00076412"/>
    <w:rsid w:val="00077C6C"/>
    <w:rsid w:val="0008035A"/>
    <w:rsid w:val="00080512"/>
    <w:rsid w:val="000817AE"/>
    <w:rsid w:val="00090468"/>
    <w:rsid w:val="0009234A"/>
    <w:rsid w:val="00094568"/>
    <w:rsid w:val="000A1034"/>
    <w:rsid w:val="000A285B"/>
    <w:rsid w:val="000A2996"/>
    <w:rsid w:val="000A2FBF"/>
    <w:rsid w:val="000A67EF"/>
    <w:rsid w:val="000A7139"/>
    <w:rsid w:val="000B67FC"/>
    <w:rsid w:val="000B7BCF"/>
    <w:rsid w:val="000C17AF"/>
    <w:rsid w:val="000C17B7"/>
    <w:rsid w:val="000C251B"/>
    <w:rsid w:val="000C281F"/>
    <w:rsid w:val="000C522B"/>
    <w:rsid w:val="000D024B"/>
    <w:rsid w:val="000D02DA"/>
    <w:rsid w:val="000D2439"/>
    <w:rsid w:val="000D3DFC"/>
    <w:rsid w:val="000D4106"/>
    <w:rsid w:val="000D4A50"/>
    <w:rsid w:val="000D58AB"/>
    <w:rsid w:val="000E0363"/>
    <w:rsid w:val="000E0751"/>
    <w:rsid w:val="000E7838"/>
    <w:rsid w:val="000F0D14"/>
    <w:rsid w:val="000F3068"/>
    <w:rsid w:val="0010076E"/>
    <w:rsid w:val="00100F42"/>
    <w:rsid w:val="00103E3F"/>
    <w:rsid w:val="001053BD"/>
    <w:rsid w:val="001066D5"/>
    <w:rsid w:val="00107633"/>
    <w:rsid w:val="0011046F"/>
    <w:rsid w:val="001110A7"/>
    <w:rsid w:val="00112F1A"/>
    <w:rsid w:val="0011395B"/>
    <w:rsid w:val="00113EB6"/>
    <w:rsid w:val="001149C2"/>
    <w:rsid w:val="00120055"/>
    <w:rsid w:val="001233C8"/>
    <w:rsid w:val="001251D4"/>
    <w:rsid w:val="00125A67"/>
    <w:rsid w:val="0012610D"/>
    <w:rsid w:val="001274B9"/>
    <w:rsid w:val="00127DD8"/>
    <w:rsid w:val="00140BB8"/>
    <w:rsid w:val="00145075"/>
    <w:rsid w:val="00146142"/>
    <w:rsid w:val="0015084D"/>
    <w:rsid w:val="00163A64"/>
    <w:rsid w:val="001640E9"/>
    <w:rsid w:val="00164F8E"/>
    <w:rsid w:val="0016770D"/>
    <w:rsid w:val="001679C3"/>
    <w:rsid w:val="00170DED"/>
    <w:rsid w:val="001741A0"/>
    <w:rsid w:val="00174BF3"/>
    <w:rsid w:val="00175FA0"/>
    <w:rsid w:val="001823D0"/>
    <w:rsid w:val="0018359D"/>
    <w:rsid w:val="0018542A"/>
    <w:rsid w:val="00185C5B"/>
    <w:rsid w:val="0018722A"/>
    <w:rsid w:val="00193CDC"/>
    <w:rsid w:val="00194CD0"/>
    <w:rsid w:val="00197230"/>
    <w:rsid w:val="001A4594"/>
    <w:rsid w:val="001A4EE6"/>
    <w:rsid w:val="001B1E23"/>
    <w:rsid w:val="001B49C9"/>
    <w:rsid w:val="001C0A25"/>
    <w:rsid w:val="001C0CFB"/>
    <w:rsid w:val="001C23F4"/>
    <w:rsid w:val="001C47D1"/>
    <w:rsid w:val="001C4992"/>
    <w:rsid w:val="001C4F79"/>
    <w:rsid w:val="001C5ECA"/>
    <w:rsid w:val="001C747F"/>
    <w:rsid w:val="001D3EE6"/>
    <w:rsid w:val="001D46FB"/>
    <w:rsid w:val="001E067F"/>
    <w:rsid w:val="001E38D9"/>
    <w:rsid w:val="001E3F80"/>
    <w:rsid w:val="001E405F"/>
    <w:rsid w:val="001E62FA"/>
    <w:rsid w:val="001E760B"/>
    <w:rsid w:val="001F168B"/>
    <w:rsid w:val="001F5B7D"/>
    <w:rsid w:val="001F7831"/>
    <w:rsid w:val="0020017F"/>
    <w:rsid w:val="00200E2B"/>
    <w:rsid w:val="00204045"/>
    <w:rsid w:val="0020567C"/>
    <w:rsid w:val="0020712B"/>
    <w:rsid w:val="002078DC"/>
    <w:rsid w:val="00211DD5"/>
    <w:rsid w:val="0021716B"/>
    <w:rsid w:val="00217467"/>
    <w:rsid w:val="0022122F"/>
    <w:rsid w:val="0022470E"/>
    <w:rsid w:val="00225417"/>
    <w:rsid w:val="0022606D"/>
    <w:rsid w:val="00227800"/>
    <w:rsid w:val="00227AE6"/>
    <w:rsid w:val="002316DC"/>
    <w:rsid w:val="00231728"/>
    <w:rsid w:val="00231826"/>
    <w:rsid w:val="0023450D"/>
    <w:rsid w:val="002361F1"/>
    <w:rsid w:val="00241448"/>
    <w:rsid w:val="00241B53"/>
    <w:rsid w:val="00244A05"/>
    <w:rsid w:val="00244A9A"/>
    <w:rsid w:val="00245366"/>
    <w:rsid w:val="00250404"/>
    <w:rsid w:val="002535DB"/>
    <w:rsid w:val="002566D1"/>
    <w:rsid w:val="00256B74"/>
    <w:rsid w:val="002610D8"/>
    <w:rsid w:val="00261476"/>
    <w:rsid w:val="0026509B"/>
    <w:rsid w:val="00265B0C"/>
    <w:rsid w:val="00267A69"/>
    <w:rsid w:val="00270F55"/>
    <w:rsid w:val="00271439"/>
    <w:rsid w:val="00273154"/>
    <w:rsid w:val="00274571"/>
    <w:rsid w:val="002747EC"/>
    <w:rsid w:val="0027650E"/>
    <w:rsid w:val="00284433"/>
    <w:rsid w:val="002855BF"/>
    <w:rsid w:val="00286556"/>
    <w:rsid w:val="00290A7C"/>
    <w:rsid w:val="00292EE0"/>
    <w:rsid w:val="002A045B"/>
    <w:rsid w:val="002A4F00"/>
    <w:rsid w:val="002B08A3"/>
    <w:rsid w:val="002B19FE"/>
    <w:rsid w:val="002B2988"/>
    <w:rsid w:val="002B2BB7"/>
    <w:rsid w:val="002B2FD9"/>
    <w:rsid w:val="002B519F"/>
    <w:rsid w:val="002C0F70"/>
    <w:rsid w:val="002C286E"/>
    <w:rsid w:val="002C7E47"/>
    <w:rsid w:val="002D2839"/>
    <w:rsid w:val="002D5D1A"/>
    <w:rsid w:val="002D610C"/>
    <w:rsid w:val="002E169B"/>
    <w:rsid w:val="002E3BF8"/>
    <w:rsid w:val="002E460A"/>
    <w:rsid w:val="002E4A33"/>
    <w:rsid w:val="002F0D22"/>
    <w:rsid w:val="002F1744"/>
    <w:rsid w:val="002F1A8F"/>
    <w:rsid w:val="002F1BB1"/>
    <w:rsid w:val="002F25CA"/>
    <w:rsid w:val="0030506E"/>
    <w:rsid w:val="00306D03"/>
    <w:rsid w:val="00307387"/>
    <w:rsid w:val="00311B17"/>
    <w:rsid w:val="0031591F"/>
    <w:rsid w:val="00315FA8"/>
    <w:rsid w:val="003172DC"/>
    <w:rsid w:val="00325AE3"/>
    <w:rsid w:val="00326069"/>
    <w:rsid w:val="003317C0"/>
    <w:rsid w:val="003347E6"/>
    <w:rsid w:val="003404BD"/>
    <w:rsid w:val="00347F4E"/>
    <w:rsid w:val="0035462D"/>
    <w:rsid w:val="00355281"/>
    <w:rsid w:val="00357DEB"/>
    <w:rsid w:val="00360BCF"/>
    <w:rsid w:val="00363690"/>
    <w:rsid w:val="0036459E"/>
    <w:rsid w:val="00364B41"/>
    <w:rsid w:val="00365AD9"/>
    <w:rsid w:val="00370DC1"/>
    <w:rsid w:val="0037507B"/>
    <w:rsid w:val="0038257E"/>
    <w:rsid w:val="003827EF"/>
    <w:rsid w:val="00383096"/>
    <w:rsid w:val="00383D39"/>
    <w:rsid w:val="003853A0"/>
    <w:rsid w:val="00387C93"/>
    <w:rsid w:val="00387D09"/>
    <w:rsid w:val="0039346C"/>
    <w:rsid w:val="0039601D"/>
    <w:rsid w:val="003A3A71"/>
    <w:rsid w:val="003A41EF"/>
    <w:rsid w:val="003A4ED8"/>
    <w:rsid w:val="003B3D91"/>
    <w:rsid w:val="003B40AD"/>
    <w:rsid w:val="003C1AEC"/>
    <w:rsid w:val="003C3D6F"/>
    <w:rsid w:val="003C3F47"/>
    <w:rsid w:val="003C4E37"/>
    <w:rsid w:val="003D0FD0"/>
    <w:rsid w:val="003D3586"/>
    <w:rsid w:val="003D6B42"/>
    <w:rsid w:val="003D7AAB"/>
    <w:rsid w:val="003E0330"/>
    <w:rsid w:val="003E16BE"/>
    <w:rsid w:val="003E75B2"/>
    <w:rsid w:val="003F0C8F"/>
    <w:rsid w:val="003F11ED"/>
    <w:rsid w:val="003F2219"/>
    <w:rsid w:val="003F4E28"/>
    <w:rsid w:val="003F76B6"/>
    <w:rsid w:val="003F7B72"/>
    <w:rsid w:val="004006E8"/>
    <w:rsid w:val="00401855"/>
    <w:rsid w:val="00406A8D"/>
    <w:rsid w:val="0040787F"/>
    <w:rsid w:val="004079FF"/>
    <w:rsid w:val="00410635"/>
    <w:rsid w:val="004234A0"/>
    <w:rsid w:val="00423D7D"/>
    <w:rsid w:val="0043285E"/>
    <w:rsid w:val="00433F03"/>
    <w:rsid w:val="00433FCF"/>
    <w:rsid w:val="0044047A"/>
    <w:rsid w:val="00445920"/>
    <w:rsid w:val="00446C3A"/>
    <w:rsid w:val="004506DE"/>
    <w:rsid w:val="0045358D"/>
    <w:rsid w:val="00460723"/>
    <w:rsid w:val="00465587"/>
    <w:rsid w:val="00467870"/>
    <w:rsid w:val="0047118E"/>
    <w:rsid w:val="0047517C"/>
    <w:rsid w:val="00477455"/>
    <w:rsid w:val="00480226"/>
    <w:rsid w:val="00483950"/>
    <w:rsid w:val="00491CAE"/>
    <w:rsid w:val="004A1F7B"/>
    <w:rsid w:val="004A2A62"/>
    <w:rsid w:val="004B631F"/>
    <w:rsid w:val="004B7CC1"/>
    <w:rsid w:val="004C1DA3"/>
    <w:rsid w:val="004C1F0A"/>
    <w:rsid w:val="004C2E02"/>
    <w:rsid w:val="004C44D2"/>
    <w:rsid w:val="004D1585"/>
    <w:rsid w:val="004D3578"/>
    <w:rsid w:val="004D3714"/>
    <w:rsid w:val="004D380D"/>
    <w:rsid w:val="004D3CEA"/>
    <w:rsid w:val="004D7818"/>
    <w:rsid w:val="004E0C48"/>
    <w:rsid w:val="004E20A1"/>
    <w:rsid w:val="004E213A"/>
    <w:rsid w:val="004E3CE3"/>
    <w:rsid w:val="004E5EC2"/>
    <w:rsid w:val="004E7553"/>
    <w:rsid w:val="004F00D7"/>
    <w:rsid w:val="004F01E1"/>
    <w:rsid w:val="004F0B26"/>
    <w:rsid w:val="004F21DC"/>
    <w:rsid w:val="004F30C8"/>
    <w:rsid w:val="004F4540"/>
    <w:rsid w:val="004F73A7"/>
    <w:rsid w:val="00502B36"/>
    <w:rsid w:val="00503171"/>
    <w:rsid w:val="005039AD"/>
    <w:rsid w:val="00506C28"/>
    <w:rsid w:val="00510325"/>
    <w:rsid w:val="005143C9"/>
    <w:rsid w:val="00515A41"/>
    <w:rsid w:val="0051761D"/>
    <w:rsid w:val="00530894"/>
    <w:rsid w:val="00534DA0"/>
    <w:rsid w:val="00537809"/>
    <w:rsid w:val="00540393"/>
    <w:rsid w:val="00541A65"/>
    <w:rsid w:val="005432D9"/>
    <w:rsid w:val="00543E6C"/>
    <w:rsid w:val="0054400F"/>
    <w:rsid w:val="00547D91"/>
    <w:rsid w:val="00553CAB"/>
    <w:rsid w:val="00561E17"/>
    <w:rsid w:val="0056382F"/>
    <w:rsid w:val="00565087"/>
    <w:rsid w:val="0056573F"/>
    <w:rsid w:val="00566573"/>
    <w:rsid w:val="00567BC4"/>
    <w:rsid w:val="00571279"/>
    <w:rsid w:val="00573250"/>
    <w:rsid w:val="00573F10"/>
    <w:rsid w:val="005755EA"/>
    <w:rsid w:val="00575FC5"/>
    <w:rsid w:val="005905B4"/>
    <w:rsid w:val="005919EA"/>
    <w:rsid w:val="00593FBE"/>
    <w:rsid w:val="00596249"/>
    <w:rsid w:val="005A13AB"/>
    <w:rsid w:val="005A49C6"/>
    <w:rsid w:val="005A5862"/>
    <w:rsid w:val="005A685A"/>
    <w:rsid w:val="005B05A5"/>
    <w:rsid w:val="005B4EB5"/>
    <w:rsid w:val="005B62DC"/>
    <w:rsid w:val="005C0E92"/>
    <w:rsid w:val="005C5400"/>
    <w:rsid w:val="005C766E"/>
    <w:rsid w:val="005C7CD5"/>
    <w:rsid w:val="005D1EC1"/>
    <w:rsid w:val="005D21BA"/>
    <w:rsid w:val="005D23C8"/>
    <w:rsid w:val="005D57E8"/>
    <w:rsid w:val="005E4224"/>
    <w:rsid w:val="005E6EC1"/>
    <w:rsid w:val="005E7242"/>
    <w:rsid w:val="005E73F6"/>
    <w:rsid w:val="005F278D"/>
    <w:rsid w:val="005F4AB9"/>
    <w:rsid w:val="005F4AE4"/>
    <w:rsid w:val="00604361"/>
    <w:rsid w:val="0060683F"/>
    <w:rsid w:val="00610743"/>
    <w:rsid w:val="00610809"/>
    <w:rsid w:val="00611566"/>
    <w:rsid w:val="006219BB"/>
    <w:rsid w:val="006321A8"/>
    <w:rsid w:val="00635440"/>
    <w:rsid w:val="006368C7"/>
    <w:rsid w:val="00636BCF"/>
    <w:rsid w:val="006462D2"/>
    <w:rsid w:val="00646D99"/>
    <w:rsid w:val="00650F8A"/>
    <w:rsid w:val="00651EE2"/>
    <w:rsid w:val="00654C21"/>
    <w:rsid w:val="00656910"/>
    <w:rsid w:val="006574C0"/>
    <w:rsid w:val="006662CB"/>
    <w:rsid w:val="00667466"/>
    <w:rsid w:val="00667C38"/>
    <w:rsid w:val="00670B9D"/>
    <w:rsid w:val="006721A6"/>
    <w:rsid w:val="006725DB"/>
    <w:rsid w:val="00672A2E"/>
    <w:rsid w:val="006730C2"/>
    <w:rsid w:val="0067337E"/>
    <w:rsid w:val="00673EBB"/>
    <w:rsid w:val="0068010F"/>
    <w:rsid w:val="006809AD"/>
    <w:rsid w:val="0068128F"/>
    <w:rsid w:val="00682F49"/>
    <w:rsid w:val="00683AEE"/>
    <w:rsid w:val="00686EB7"/>
    <w:rsid w:val="00687324"/>
    <w:rsid w:val="00687B40"/>
    <w:rsid w:val="00692925"/>
    <w:rsid w:val="00696821"/>
    <w:rsid w:val="006A0349"/>
    <w:rsid w:val="006A444A"/>
    <w:rsid w:val="006A685C"/>
    <w:rsid w:val="006B1021"/>
    <w:rsid w:val="006C0439"/>
    <w:rsid w:val="006C487E"/>
    <w:rsid w:val="006C66D8"/>
    <w:rsid w:val="006D1E24"/>
    <w:rsid w:val="006D35DE"/>
    <w:rsid w:val="006E1057"/>
    <w:rsid w:val="006E1417"/>
    <w:rsid w:val="006E4BFF"/>
    <w:rsid w:val="006E7238"/>
    <w:rsid w:val="006E7286"/>
    <w:rsid w:val="006F0D56"/>
    <w:rsid w:val="006F57B8"/>
    <w:rsid w:val="006F596D"/>
    <w:rsid w:val="006F6A2C"/>
    <w:rsid w:val="007069DC"/>
    <w:rsid w:val="00710201"/>
    <w:rsid w:val="00711E5E"/>
    <w:rsid w:val="00711FAB"/>
    <w:rsid w:val="00712D0C"/>
    <w:rsid w:val="00715791"/>
    <w:rsid w:val="0072073A"/>
    <w:rsid w:val="00721FCA"/>
    <w:rsid w:val="00723B23"/>
    <w:rsid w:val="00725182"/>
    <w:rsid w:val="00725FC5"/>
    <w:rsid w:val="007268C4"/>
    <w:rsid w:val="00727663"/>
    <w:rsid w:val="0073023B"/>
    <w:rsid w:val="00731B86"/>
    <w:rsid w:val="0073220E"/>
    <w:rsid w:val="00733135"/>
    <w:rsid w:val="007342B5"/>
    <w:rsid w:val="00734A5B"/>
    <w:rsid w:val="00735ADF"/>
    <w:rsid w:val="00735B17"/>
    <w:rsid w:val="007400E3"/>
    <w:rsid w:val="00744053"/>
    <w:rsid w:val="00744E76"/>
    <w:rsid w:val="00747CC0"/>
    <w:rsid w:val="00750ADF"/>
    <w:rsid w:val="00751113"/>
    <w:rsid w:val="00757D40"/>
    <w:rsid w:val="0076411C"/>
    <w:rsid w:val="007662B5"/>
    <w:rsid w:val="00770E7F"/>
    <w:rsid w:val="007713C1"/>
    <w:rsid w:val="00772DCE"/>
    <w:rsid w:val="00775EC8"/>
    <w:rsid w:val="00781EDF"/>
    <w:rsid w:val="00781F0F"/>
    <w:rsid w:val="007830BC"/>
    <w:rsid w:val="00784E93"/>
    <w:rsid w:val="00785F02"/>
    <w:rsid w:val="0078727C"/>
    <w:rsid w:val="0079049D"/>
    <w:rsid w:val="007922C2"/>
    <w:rsid w:val="00792481"/>
    <w:rsid w:val="00793DC5"/>
    <w:rsid w:val="00796823"/>
    <w:rsid w:val="007A27AE"/>
    <w:rsid w:val="007A2E55"/>
    <w:rsid w:val="007A44C3"/>
    <w:rsid w:val="007A4547"/>
    <w:rsid w:val="007A754A"/>
    <w:rsid w:val="007B188D"/>
    <w:rsid w:val="007B18D8"/>
    <w:rsid w:val="007B5E96"/>
    <w:rsid w:val="007C060F"/>
    <w:rsid w:val="007C095F"/>
    <w:rsid w:val="007C2DD0"/>
    <w:rsid w:val="007C6272"/>
    <w:rsid w:val="007D25B9"/>
    <w:rsid w:val="007D6431"/>
    <w:rsid w:val="007E2208"/>
    <w:rsid w:val="007E365F"/>
    <w:rsid w:val="007E382B"/>
    <w:rsid w:val="007E48F5"/>
    <w:rsid w:val="007E78CA"/>
    <w:rsid w:val="007F2E08"/>
    <w:rsid w:val="007F4CF9"/>
    <w:rsid w:val="007F601C"/>
    <w:rsid w:val="007F738D"/>
    <w:rsid w:val="007F757F"/>
    <w:rsid w:val="00800390"/>
    <w:rsid w:val="00801972"/>
    <w:rsid w:val="008024FA"/>
    <w:rsid w:val="008028A4"/>
    <w:rsid w:val="008046EA"/>
    <w:rsid w:val="00804956"/>
    <w:rsid w:val="00806AEB"/>
    <w:rsid w:val="00813245"/>
    <w:rsid w:val="00814F18"/>
    <w:rsid w:val="00816429"/>
    <w:rsid w:val="008168B9"/>
    <w:rsid w:val="00821576"/>
    <w:rsid w:val="00823EA5"/>
    <w:rsid w:val="00823EB9"/>
    <w:rsid w:val="0082749F"/>
    <w:rsid w:val="00836F07"/>
    <w:rsid w:val="00840DE0"/>
    <w:rsid w:val="008416D6"/>
    <w:rsid w:val="008437BE"/>
    <w:rsid w:val="00844D86"/>
    <w:rsid w:val="008478B2"/>
    <w:rsid w:val="00847CD0"/>
    <w:rsid w:val="00850740"/>
    <w:rsid w:val="00851589"/>
    <w:rsid w:val="00851FB2"/>
    <w:rsid w:val="00857044"/>
    <w:rsid w:val="008607A8"/>
    <w:rsid w:val="0086354A"/>
    <w:rsid w:val="00872CF4"/>
    <w:rsid w:val="00875BB9"/>
    <w:rsid w:val="008768CA"/>
    <w:rsid w:val="00877EF9"/>
    <w:rsid w:val="00880559"/>
    <w:rsid w:val="008824BC"/>
    <w:rsid w:val="00882F6F"/>
    <w:rsid w:val="00890201"/>
    <w:rsid w:val="008902C8"/>
    <w:rsid w:val="00890660"/>
    <w:rsid w:val="00890BDC"/>
    <w:rsid w:val="00890FE9"/>
    <w:rsid w:val="00891D90"/>
    <w:rsid w:val="0089257A"/>
    <w:rsid w:val="008933EC"/>
    <w:rsid w:val="008968F6"/>
    <w:rsid w:val="008A0064"/>
    <w:rsid w:val="008B056A"/>
    <w:rsid w:val="008B0F6A"/>
    <w:rsid w:val="008B1347"/>
    <w:rsid w:val="008B4C9E"/>
    <w:rsid w:val="008B51A2"/>
    <w:rsid w:val="008B5306"/>
    <w:rsid w:val="008B549E"/>
    <w:rsid w:val="008B54E8"/>
    <w:rsid w:val="008C0A5F"/>
    <w:rsid w:val="008C27A0"/>
    <w:rsid w:val="008C2E2A"/>
    <w:rsid w:val="008C3057"/>
    <w:rsid w:val="008C4795"/>
    <w:rsid w:val="008C656D"/>
    <w:rsid w:val="008D0C8C"/>
    <w:rsid w:val="008D2E4D"/>
    <w:rsid w:val="008E00D8"/>
    <w:rsid w:val="008E2225"/>
    <w:rsid w:val="008E239A"/>
    <w:rsid w:val="008E2697"/>
    <w:rsid w:val="008E536C"/>
    <w:rsid w:val="008E5509"/>
    <w:rsid w:val="008F396F"/>
    <w:rsid w:val="008F3DCD"/>
    <w:rsid w:val="0090271F"/>
    <w:rsid w:val="00902DB9"/>
    <w:rsid w:val="00904557"/>
    <w:rsid w:val="0090466A"/>
    <w:rsid w:val="00905E5A"/>
    <w:rsid w:val="009076D6"/>
    <w:rsid w:val="00911F55"/>
    <w:rsid w:val="009144E3"/>
    <w:rsid w:val="009202DB"/>
    <w:rsid w:val="00921D0D"/>
    <w:rsid w:val="00923655"/>
    <w:rsid w:val="009248C6"/>
    <w:rsid w:val="00927842"/>
    <w:rsid w:val="0093001F"/>
    <w:rsid w:val="00930226"/>
    <w:rsid w:val="009324C5"/>
    <w:rsid w:val="009339CB"/>
    <w:rsid w:val="00934E96"/>
    <w:rsid w:val="00936071"/>
    <w:rsid w:val="0093671C"/>
    <w:rsid w:val="009376CD"/>
    <w:rsid w:val="00937717"/>
    <w:rsid w:val="00937927"/>
    <w:rsid w:val="00940212"/>
    <w:rsid w:val="00942953"/>
    <w:rsid w:val="00942EC2"/>
    <w:rsid w:val="00950A42"/>
    <w:rsid w:val="009522E2"/>
    <w:rsid w:val="00953DF8"/>
    <w:rsid w:val="0095426E"/>
    <w:rsid w:val="009550B1"/>
    <w:rsid w:val="00961B32"/>
    <w:rsid w:val="00962509"/>
    <w:rsid w:val="0096263C"/>
    <w:rsid w:val="0096273C"/>
    <w:rsid w:val="00964170"/>
    <w:rsid w:val="0096447B"/>
    <w:rsid w:val="00970DB3"/>
    <w:rsid w:val="00974BB0"/>
    <w:rsid w:val="009751A3"/>
    <w:rsid w:val="00975BCD"/>
    <w:rsid w:val="00976D55"/>
    <w:rsid w:val="0098135F"/>
    <w:rsid w:val="009818A2"/>
    <w:rsid w:val="00983343"/>
    <w:rsid w:val="009861A5"/>
    <w:rsid w:val="009928A9"/>
    <w:rsid w:val="009970A4"/>
    <w:rsid w:val="009A074F"/>
    <w:rsid w:val="009A0AF3"/>
    <w:rsid w:val="009A4E2D"/>
    <w:rsid w:val="009A5A3B"/>
    <w:rsid w:val="009A7F99"/>
    <w:rsid w:val="009B07CD"/>
    <w:rsid w:val="009B2E09"/>
    <w:rsid w:val="009B422F"/>
    <w:rsid w:val="009B4992"/>
    <w:rsid w:val="009B541E"/>
    <w:rsid w:val="009B7A04"/>
    <w:rsid w:val="009C1639"/>
    <w:rsid w:val="009C19E9"/>
    <w:rsid w:val="009C3693"/>
    <w:rsid w:val="009C42FB"/>
    <w:rsid w:val="009C743B"/>
    <w:rsid w:val="009D15AF"/>
    <w:rsid w:val="009D409F"/>
    <w:rsid w:val="009D4729"/>
    <w:rsid w:val="009D65D4"/>
    <w:rsid w:val="009D74A6"/>
    <w:rsid w:val="009D7B7B"/>
    <w:rsid w:val="009E0E87"/>
    <w:rsid w:val="009E6616"/>
    <w:rsid w:val="009E739F"/>
    <w:rsid w:val="009F3861"/>
    <w:rsid w:val="009F4A00"/>
    <w:rsid w:val="009F6C47"/>
    <w:rsid w:val="00A0100F"/>
    <w:rsid w:val="00A02A6C"/>
    <w:rsid w:val="00A05B81"/>
    <w:rsid w:val="00A071FC"/>
    <w:rsid w:val="00A10F02"/>
    <w:rsid w:val="00A12C49"/>
    <w:rsid w:val="00A17176"/>
    <w:rsid w:val="00A204CA"/>
    <w:rsid w:val="00A209D6"/>
    <w:rsid w:val="00A22738"/>
    <w:rsid w:val="00A25EC8"/>
    <w:rsid w:val="00A30348"/>
    <w:rsid w:val="00A312C3"/>
    <w:rsid w:val="00A31E9D"/>
    <w:rsid w:val="00A320DA"/>
    <w:rsid w:val="00A36F5F"/>
    <w:rsid w:val="00A42990"/>
    <w:rsid w:val="00A430EC"/>
    <w:rsid w:val="00A4438C"/>
    <w:rsid w:val="00A45638"/>
    <w:rsid w:val="00A53724"/>
    <w:rsid w:val="00A54927"/>
    <w:rsid w:val="00A54B2B"/>
    <w:rsid w:val="00A60A8B"/>
    <w:rsid w:val="00A6520C"/>
    <w:rsid w:val="00A65899"/>
    <w:rsid w:val="00A663A3"/>
    <w:rsid w:val="00A663F0"/>
    <w:rsid w:val="00A67529"/>
    <w:rsid w:val="00A703B6"/>
    <w:rsid w:val="00A70ECB"/>
    <w:rsid w:val="00A739BF"/>
    <w:rsid w:val="00A8037E"/>
    <w:rsid w:val="00A81C5D"/>
    <w:rsid w:val="00A82346"/>
    <w:rsid w:val="00A8547B"/>
    <w:rsid w:val="00A859BE"/>
    <w:rsid w:val="00A85E45"/>
    <w:rsid w:val="00A94AC5"/>
    <w:rsid w:val="00A9671C"/>
    <w:rsid w:val="00AA1553"/>
    <w:rsid w:val="00AA3A83"/>
    <w:rsid w:val="00AA4EFF"/>
    <w:rsid w:val="00AB1E48"/>
    <w:rsid w:val="00AB2E71"/>
    <w:rsid w:val="00AC500F"/>
    <w:rsid w:val="00AC6F28"/>
    <w:rsid w:val="00AD1E99"/>
    <w:rsid w:val="00AD26A9"/>
    <w:rsid w:val="00AD32F6"/>
    <w:rsid w:val="00AD7E7C"/>
    <w:rsid w:val="00AE2885"/>
    <w:rsid w:val="00AE3DE9"/>
    <w:rsid w:val="00AE3FC9"/>
    <w:rsid w:val="00AE4433"/>
    <w:rsid w:val="00AF3461"/>
    <w:rsid w:val="00AF4A87"/>
    <w:rsid w:val="00B00A2C"/>
    <w:rsid w:val="00B04F33"/>
    <w:rsid w:val="00B05380"/>
    <w:rsid w:val="00B05962"/>
    <w:rsid w:val="00B05D3A"/>
    <w:rsid w:val="00B10ED3"/>
    <w:rsid w:val="00B13089"/>
    <w:rsid w:val="00B13311"/>
    <w:rsid w:val="00B133B1"/>
    <w:rsid w:val="00B13EAA"/>
    <w:rsid w:val="00B15449"/>
    <w:rsid w:val="00B16C2F"/>
    <w:rsid w:val="00B1748E"/>
    <w:rsid w:val="00B178CA"/>
    <w:rsid w:val="00B22BF4"/>
    <w:rsid w:val="00B27303"/>
    <w:rsid w:val="00B33903"/>
    <w:rsid w:val="00B36EE7"/>
    <w:rsid w:val="00B418C5"/>
    <w:rsid w:val="00B41C9F"/>
    <w:rsid w:val="00B459AC"/>
    <w:rsid w:val="00B466AA"/>
    <w:rsid w:val="00B468AC"/>
    <w:rsid w:val="00B47FD1"/>
    <w:rsid w:val="00B516BB"/>
    <w:rsid w:val="00B53BDD"/>
    <w:rsid w:val="00B5751D"/>
    <w:rsid w:val="00B57DCD"/>
    <w:rsid w:val="00B607E3"/>
    <w:rsid w:val="00B60884"/>
    <w:rsid w:val="00B62E49"/>
    <w:rsid w:val="00B63D63"/>
    <w:rsid w:val="00B669E9"/>
    <w:rsid w:val="00B729D6"/>
    <w:rsid w:val="00B72EF1"/>
    <w:rsid w:val="00B7466B"/>
    <w:rsid w:val="00B7538C"/>
    <w:rsid w:val="00B7611D"/>
    <w:rsid w:val="00B827FD"/>
    <w:rsid w:val="00B834CC"/>
    <w:rsid w:val="00B83E5C"/>
    <w:rsid w:val="00B84DB2"/>
    <w:rsid w:val="00B9221E"/>
    <w:rsid w:val="00B9791E"/>
    <w:rsid w:val="00BA446F"/>
    <w:rsid w:val="00BA6797"/>
    <w:rsid w:val="00BA67B5"/>
    <w:rsid w:val="00BB1B32"/>
    <w:rsid w:val="00BB2968"/>
    <w:rsid w:val="00BB3ABB"/>
    <w:rsid w:val="00BB724F"/>
    <w:rsid w:val="00BC2C25"/>
    <w:rsid w:val="00BC3555"/>
    <w:rsid w:val="00BC516D"/>
    <w:rsid w:val="00BD674B"/>
    <w:rsid w:val="00BD7ECA"/>
    <w:rsid w:val="00BD7F50"/>
    <w:rsid w:val="00BE0716"/>
    <w:rsid w:val="00BE3224"/>
    <w:rsid w:val="00BE4E94"/>
    <w:rsid w:val="00BF1218"/>
    <w:rsid w:val="00C00EFB"/>
    <w:rsid w:val="00C01318"/>
    <w:rsid w:val="00C07241"/>
    <w:rsid w:val="00C11893"/>
    <w:rsid w:val="00C12B51"/>
    <w:rsid w:val="00C21F06"/>
    <w:rsid w:val="00C23D63"/>
    <w:rsid w:val="00C24650"/>
    <w:rsid w:val="00C25465"/>
    <w:rsid w:val="00C27D75"/>
    <w:rsid w:val="00C30D5D"/>
    <w:rsid w:val="00C3143A"/>
    <w:rsid w:val="00C31806"/>
    <w:rsid w:val="00C33079"/>
    <w:rsid w:val="00C339DC"/>
    <w:rsid w:val="00C35879"/>
    <w:rsid w:val="00C35C8A"/>
    <w:rsid w:val="00C40958"/>
    <w:rsid w:val="00C46520"/>
    <w:rsid w:val="00C51AFA"/>
    <w:rsid w:val="00C5238C"/>
    <w:rsid w:val="00C55320"/>
    <w:rsid w:val="00C55A12"/>
    <w:rsid w:val="00C64EC3"/>
    <w:rsid w:val="00C6553E"/>
    <w:rsid w:val="00C664FE"/>
    <w:rsid w:val="00C7193B"/>
    <w:rsid w:val="00C75044"/>
    <w:rsid w:val="00C80397"/>
    <w:rsid w:val="00C82D7F"/>
    <w:rsid w:val="00C83A13"/>
    <w:rsid w:val="00C85A87"/>
    <w:rsid w:val="00C86F10"/>
    <w:rsid w:val="00C87C2E"/>
    <w:rsid w:val="00C9068C"/>
    <w:rsid w:val="00C9089A"/>
    <w:rsid w:val="00C92967"/>
    <w:rsid w:val="00CA2AF3"/>
    <w:rsid w:val="00CA3913"/>
    <w:rsid w:val="00CA3D0C"/>
    <w:rsid w:val="00CA654B"/>
    <w:rsid w:val="00CA7A7F"/>
    <w:rsid w:val="00CB183F"/>
    <w:rsid w:val="00CB1DC4"/>
    <w:rsid w:val="00CB3F8F"/>
    <w:rsid w:val="00CB512D"/>
    <w:rsid w:val="00CB5B1E"/>
    <w:rsid w:val="00CB6198"/>
    <w:rsid w:val="00CB72B8"/>
    <w:rsid w:val="00CC313F"/>
    <w:rsid w:val="00CC4488"/>
    <w:rsid w:val="00CC5541"/>
    <w:rsid w:val="00CD0BA8"/>
    <w:rsid w:val="00CD2F19"/>
    <w:rsid w:val="00CD4C7B"/>
    <w:rsid w:val="00CD4DB8"/>
    <w:rsid w:val="00CD58FE"/>
    <w:rsid w:val="00CE000C"/>
    <w:rsid w:val="00CE088B"/>
    <w:rsid w:val="00CE20F4"/>
    <w:rsid w:val="00CF0E2F"/>
    <w:rsid w:val="00CF2404"/>
    <w:rsid w:val="00CF60EF"/>
    <w:rsid w:val="00CF6DCC"/>
    <w:rsid w:val="00CF7C81"/>
    <w:rsid w:val="00D02084"/>
    <w:rsid w:val="00D02655"/>
    <w:rsid w:val="00D06407"/>
    <w:rsid w:val="00D065EF"/>
    <w:rsid w:val="00D1014C"/>
    <w:rsid w:val="00D10A54"/>
    <w:rsid w:val="00D14C30"/>
    <w:rsid w:val="00D179E0"/>
    <w:rsid w:val="00D22023"/>
    <w:rsid w:val="00D23913"/>
    <w:rsid w:val="00D33BE3"/>
    <w:rsid w:val="00D36742"/>
    <w:rsid w:val="00D3783C"/>
    <w:rsid w:val="00D3792D"/>
    <w:rsid w:val="00D52561"/>
    <w:rsid w:val="00D52F9F"/>
    <w:rsid w:val="00D54820"/>
    <w:rsid w:val="00D549EC"/>
    <w:rsid w:val="00D55E47"/>
    <w:rsid w:val="00D57553"/>
    <w:rsid w:val="00D605F2"/>
    <w:rsid w:val="00D61202"/>
    <w:rsid w:val="00D62E19"/>
    <w:rsid w:val="00D6524B"/>
    <w:rsid w:val="00D65A89"/>
    <w:rsid w:val="00D65D67"/>
    <w:rsid w:val="00D67338"/>
    <w:rsid w:val="00D67CD1"/>
    <w:rsid w:val="00D72B1D"/>
    <w:rsid w:val="00D738D6"/>
    <w:rsid w:val="00D80795"/>
    <w:rsid w:val="00D82DD6"/>
    <w:rsid w:val="00D854BE"/>
    <w:rsid w:val="00D85974"/>
    <w:rsid w:val="00D87E00"/>
    <w:rsid w:val="00D90D6A"/>
    <w:rsid w:val="00D9134D"/>
    <w:rsid w:val="00D93424"/>
    <w:rsid w:val="00D93740"/>
    <w:rsid w:val="00D94C78"/>
    <w:rsid w:val="00D9555B"/>
    <w:rsid w:val="00D96D11"/>
    <w:rsid w:val="00DA1415"/>
    <w:rsid w:val="00DA288C"/>
    <w:rsid w:val="00DA7A03"/>
    <w:rsid w:val="00DB0DB8"/>
    <w:rsid w:val="00DB1486"/>
    <w:rsid w:val="00DB1818"/>
    <w:rsid w:val="00DB4679"/>
    <w:rsid w:val="00DB5EB9"/>
    <w:rsid w:val="00DB65FA"/>
    <w:rsid w:val="00DB6D3F"/>
    <w:rsid w:val="00DC309B"/>
    <w:rsid w:val="00DC342F"/>
    <w:rsid w:val="00DC4DA2"/>
    <w:rsid w:val="00DC5261"/>
    <w:rsid w:val="00DD0FB6"/>
    <w:rsid w:val="00DD3375"/>
    <w:rsid w:val="00DD700E"/>
    <w:rsid w:val="00DE25D2"/>
    <w:rsid w:val="00DE5193"/>
    <w:rsid w:val="00DF19B5"/>
    <w:rsid w:val="00DF19D9"/>
    <w:rsid w:val="00DF4EF6"/>
    <w:rsid w:val="00DF5DCD"/>
    <w:rsid w:val="00DF6CF2"/>
    <w:rsid w:val="00DF7C20"/>
    <w:rsid w:val="00E038FB"/>
    <w:rsid w:val="00E051C0"/>
    <w:rsid w:val="00E0555A"/>
    <w:rsid w:val="00E140DD"/>
    <w:rsid w:val="00E14535"/>
    <w:rsid w:val="00E20C13"/>
    <w:rsid w:val="00E22F3C"/>
    <w:rsid w:val="00E23CE6"/>
    <w:rsid w:val="00E26F4B"/>
    <w:rsid w:val="00E27183"/>
    <w:rsid w:val="00E421CF"/>
    <w:rsid w:val="00E42A2B"/>
    <w:rsid w:val="00E46A9B"/>
    <w:rsid w:val="00E46C08"/>
    <w:rsid w:val="00E471CF"/>
    <w:rsid w:val="00E54539"/>
    <w:rsid w:val="00E56C35"/>
    <w:rsid w:val="00E61012"/>
    <w:rsid w:val="00E62835"/>
    <w:rsid w:val="00E63E27"/>
    <w:rsid w:val="00E63FB0"/>
    <w:rsid w:val="00E6480E"/>
    <w:rsid w:val="00E64CAE"/>
    <w:rsid w:val="00E657C2"/>
    <w:rsid w:val="00E66852"/>
    <w:rsid w:val="00E71FC0"/>
    <w:rsid w:val="00E73148"/>
    <w:rsid w:val="00E73996"/>
    <w:rsid w:val="00E74941"/>
    <w:rsid w:val="00E75628"/>
    <w:rsid w:val="00E77645"/>
    <w:rsid w:val="00E815D7"/>
    <w:rsid w:val="00E82419"/>
    <w:rsid w:val="00E82A55"/>
    <w:rsid w:val="00E83697"/>
    <w:rsid w:val="00E847D5"/>
    <w:rsid w:val="00E859B6"/>
    <w:rsid w:val="00E862B3"/>
    <w:rsid w:val="00E9121C"/>
    <w:rsid w:val="00E930D8"/>
    <w:rsid w:val="00E93202"/>
    <w:rsid w:val="00EA66C9"/>
    <w:rsid w:val="00EB080B"/>
    <w:rsid w:val="00EB2811"/>
    <w:rsid w:val="00EB5D32"/>
    <w:rsid w:val="00EB67BD"/>
    <w:rsid w:val="00EC3F49"/>
    <w:rsid w:val="00EC4A25"/>
    <w:rsid w:val="00EC630D"/>
    <w:rsid w:val="00ED1C74"/>
    <w:rsid w:val="00ED5BD2"/>
    <w:rsid w:val="00ED6253"/>
    <w:rsid w:val="00ED73CD"/>
    <w:rsid w:val="00ED7439"/>
    <w:rsid w:val="00EE0EC9"/>
    <w:rsid w:val="00EE212E"/>
    <w:rsid w:val="00EE606F"/>
    <w:rsid w:val="00EF5018"/>
    <w:rsid w:val="00EF5BB2"/>
    <w:rsid w:val="00EF612C"/>
    <w:rsid w:val="00EF7A99"/>
    <w:rsid w:val="00F00C5F"/>
    <w:rsid w:val="00F025A2"/>
    <w:rsid w:val="00F02609"/>
    <w:rsid w:val="00F036E9"/>
    <w:rsid w:val="00F04057"/>
    <w:rsid w:val="00F07388"/>
    <w:rsid w:val="00F10160"/>
    <w:rsid w:val="00F15D5B"/>
    <w:rsid w:val="00F17EC7"/>
    <w:rsid w:val="00F17FA0"/>
    <w:rsid w:val="00F2026E"/>
    <w:rsid w:val="00F207B8"/>
    <w:rsid w:val="00F2210A"/>
    <w:rsid w:val="00F24723"/>
    <w:rsid w:val="00F26008"/>
    <w:rsid w:val="00F307F6"/>
    <w:rsid w:val="00F30AA7"/>
    <w:rsid w:val="00F3106C"/>
    <w:rsid w:val="00F31372"/>
    <w:rsid w:val="00F34398"/>
    <w:rsid w:val="00F37743"/>
    <w:rsid w:val="00F4009C"/>
    <w:rsid w:val="00F405E4"/>
    <w:rsid w:val="00F40C2F"/>
    <w:rsid w:val="00F41D44"/>
    <w:rsid w:val="00F42493"/>
    <w:rsid w:val="00F42E8C"/>
    <w:rsid w:val="00F43528"/>
    <w:rsid w:val="00F44301"/>
    <w:rsid w:val="00F508DE"/>
    <w:rsid w:val="00F52169"/>
    <w:rsid w:val="00F52FF9"/>
    <w:rsid w:val="00F53979"/>
    <w:rsid w:val="00F54A3D"/>
    <w:rsid w:val="00F54CB0"/>
    <w:rsid w:val="00F579CD"/>
    <w:rsid w:val="00F6188A"/>
    <w:rsid w:val="00F64657"/>
    <w:rsid w:val="00F653B8"/>
    <w:rsid w:val="00F71B89"/>
    <w:rsid w:val="00F7353C"/>
    <w:rsid w:val="00F76046"/>
    <w:rsid w:val="00F76F8F"/>
    <w:rsid w:val="00F8295F"/>
    <w:rsid w:val="00F85F01"/>
    <w:rsid w:val="00F87048"/>
    <w:rsid w:val="00F87257"/>
    <w:rsid w:val="00F901DA"/>
    <w:rsid w:val="00F9089A"/>
    <w:rsid w:val="00F90A1C"/>
    <w:rsid w:val="00F9111D"/>
    <w:rsid w:val="00F92871"/>
    <w:rsid w:val="00F941DF"/>
    <w:rsid w:val="00FA0AB7"/>
    <w:rsid w:val="00FA0D78"/>
    <w:rsid w:val="00FA1266"/>
    <w:rsid w:val="00FA6E63"/>
    <w:rsid w:val="00FB0B3F"/>
    <w:rsid w:val="00FB0B92"/>
    <w:rsid w:val="00FB2EF4"/>
    <w:rsid w:val="00FB36FA"/>
    <w:rsid w:val="00FB441B"/>
    <w:rsid w:val="00FB4CAB"/>
    <w:rsid w:val="00FB5520"/>
    <w:rsid w:val="00FB58BC"/>
    <w:rsid w:val="00FB716D"/>
    <w:rsid w:val="00FC1192"/>
    <w:rsid w:val="00FD18FA"/>
    <w:rsid w:val="00FD4741"/>
    <w:rsid w:val="00FD540A"/>
    <w:rsid w:val="00FE106D"/>
    <w:rsid w:val="00FE251B"/>
    <w:rsid w:val="00FE5341"/>
    <w:rsid w:val="00FE71D3"/>
    <w:rsid w:val="0253986F"/>
    <w:rsid w:val="12785707"/>
    <w:rsid w:val="1C6DE8C3"/>
    <w:rsid w:val="20E16A8B"/>
    <w:rsid w:val="2A7E82C8"/>
    <w:rsid w:val="370927D9"/>
    <w:rsid w:val="5B0BBCF6"/>
    <w:rsid w:val="79DF0276"/>
    <w:rsid w:val="7BD7250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F28F1F0-E1C1-421D-99DA-44ECC5DBF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9"/>
      </w:numPr>
      <w:contextualSpacing/>
    </w:pPr>
  </w:style>
  <w:style w:type="paragraph" w:styleId="ListBullet2">
    <w:name w:val="List Bullet 2"/>
    <w:basedOn w:val="Normal"/>
    <w:rsid w:val="003F76B6"/>
    <w:pPr>
      <w:numPr>
        <w:numId w:val="10"/>
      </w:numPr>
      <w:contextualSpacing/>
    </w:pPr>
  </w:style>
  <w:style w:type="paragraph" w:styleId="ListBullet3">
    <w:name w:val="List Bullet 3"/>
    <w:basedOn w:val="Normal"/>
    <w:rsid w:val="003F76B6"/>
    <w:pPr>
      <w:numPr>
        <w:numId w:val="11"/>
      </w:numPr>
      <w:contextualSpacing/>
    </w:pPr>
  </w:style>
  <w:style w:type="paragraph" w:styleId="ListBullet4">
    <w:name w:val="List Bullet 4"/>
    <w:basedOn w:val="Normal"/>
    <w:rsid w:val="003F76B6"/>
    <w:pPr>
      <w:numPr>
        <w:numId w:val="12"/>
      </w:numPr>
      <w:contextualSpacing/>
    </w:pPr>
  </w:style>
  <w:style w:type="paragraph" w:styleId="ListBullet5">
    <w:name w:val="List Bullet 5"/>
    <w:basedOn w:val="Normal"/>
    <w:rsid w:val="003F76B6"/>
    <w:pPr>
      <w:numPr>
        <w:numId w:val="13"/>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4"/>
      </w:numPr>
      <w:contextualSpacing/>
    </w:pPr>
  </w:style>
  <w:style w:type="paragraph" w:styleId="ListNumber2">
    <w:name w:val="List Number 2"/>
    <w:basedOn w:val="Normal"/>
    <w:rsid w:val="003F76B6"/>
    <w:pPr>
      <w:numPr>
        <w:numId w:val="15"/>
      </w:numPr>
      <w:contextualSpacing/>
    </w:pPr>
  </w:style>
  <w:style w:type="paragraph" w:styleId="ListNumber3">
    <w:name w:val="List Number 3"/>
    <w:basedOn w:val="Normal"/>
    <w:rsid w:val="003F76B6"/>
    <w:pPr>
      <w:numPr>
        <w:numId w:val="16"/>
      </w:numPr>
      <w:contextualSpacing/>
    </w:pPr>
  </w:style>
  <w:style w:type="paragraph" w:styleId="ListNumber4">
    <w:name w:val="List Number 4"/>
    <w:basedOn w:val="Normal"/>
    <w:rsid w:val="003F76B6"/>
    <w:pPr>
      <w:numPr>
        <w:numId w:val="17"/>
      </w:numPr>
      <w:contextualSpacing/>
    </w:pPr>
  </w:style>
  <w:style w:type="paragraph" w:styleId="ListNumber5">
    <w:name w:val="List Number 5"/>
    <w:basedOn w:val="Normal"/>
    <w:rsid w:val="003F76B6"/>
    <w:pPr>
      <w:numPr>
        <w:numId w:val="18"/>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customStyle="1" w:styleId="Heading3Char">
    <w:name w:val="Heading 3 Char"/>
    <w:basedOn w:val="DefaultParagraphFont"/>
    <w:link w:val="Heading3"/>
    <w:rsid w:val="00FB58BC"/>
    <w:rPr>
      <w:rFonts w:ascii="Arial" w:hAnsi="Arial"/>
      <w:sz w:val="28"/>
      <w:lang w:eastAsia="en-US"/>
    </w:rPr>
  </w:style>
  <w:style w:type="table" w:styleId="TableGrid">
    <w:name w:val="Table Grid"/>
    <w:basedOn w:val="TableNormal"/>
    <w:rsid w:val="00FB5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DB4679"/>
    <w:pPr>
      <w:numPr>
        <w:numId w:val="19"/>
      </w:numPr>
      <w:spacing w:before="60" w:after="0"/>
    </w:pPr>
    <w:rPr>
      <w:rFonts w:ascii="Arial" w:eastAsia="MS Mincho" w:hAnsi="Arial"/>
      <w:b/>
      <w:szCs w:val="24"/>
      <w:lang w:eastAsia="en-GB"/>
    </w:rPr>
  </w:style>
  <w:style w:type="character" w:customStyle="1" w:styleId="Heading2Char">
    <w:name w:val="Heading 2 Char"/>
    <w:basedOn w:val="DefaultParagraphFont"/>
    <w:link w:val="Heading2"/>
    <w:rsid w:val="00C40958"/>
    <w:rPr>
      <w:rFonts w:ascii="Arial" w:hAnsi="Arial"/>
      <w:sz w:val="32"/>
      <w:lang w:eastAsia="en-US"/>
    </w:rPr>
  </w:style>
  <w:style w:type="paragraph" w:customStyle="1" w:styleId="paragraph">
    <w:name w:val="paragraph"/>
    <w:basedOn w:val="Normal"/>
    <w:rsid w:val="00C40958"/>
    <w:pPr>
      <w:spacing w:before="100" w:beforeAutospacing="1" w:after="100" w:afterAutospacing="1" w:line="259" w:lineRule="auto"/>
    </w:pPr>
    <w:rPr>
      <w:rFonts w:asciiTheme="minorHAnsi" w:hAnsiTheme="minorHAnsi" w:cstheme="minorBidi"/>
      <w:kern w:val="2"/>
      <w:sz w:val="24"/>
      <w:szCs w:val="24"/>
      <w:lang w:val="en-US" w:eastAsia="da-DK"/>
      <w14:ligatures w14:val="standardContextual"/>
    </w:rPr>
  </w:style>
  <w:style w:type="paragraph" w:styleId="Revision">
    <w:name w:val="Revision"/>
    <w:hidden/>
    <w:uiPriority w:val="99"/>
    <w:semiHidden/>
    <w:rsid w:val="00D93740"/>
    <w:rPr>
      <w:lang w:eastAsia="en-US"/>
    </w:rPr>
  </w:style>
  <w:style w:type="character" w:styleId="Mention">
    <w:name w:val="Mention"/>
    <w:basedOn w:val="DefaultParagraphFont"/>
    <w:uiPriority w:val="99"/>
    <w:unhideWhenUsed/>
    <w:rsid w:val="0030738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513422133">
      <w:bodyDiv w:val="1"/>
      <w:marLeft w:val="0"/>
      <w:marRight w:val="0"/>
      <w:marTop w:val="0"/>
      <w:marBottom w:val="0"/>
      <w:divBdr>
        <w:top w:val="none" w:sz="0" w:space="0" w:color="auto"/>
        <w:left w:val="none" w:sz="0" w:space="0" w:color="auto"/>
        <w:bottom w:val="none" w:sz="0" w:space="0" w:color="auto"/>
        <w:right w:val="none" w:sz="0" w:space="0" w:color="auto"/>
      </w:divBdr>
    </w:div>
    <w:div w:id="68081240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54142587">
      <w:bodyDiv w:val="1"/>
      <w:marLeft w:val="0"/>
      <w:marRight w:val="0"/>
      <w:marTop w:val="0"/>
      <w:marBottom w:val="0"/>
      <w:divBdr>
        <w:top w:val="none" w:sz="0" w:space="0" w:color="auto"/>
        <w:left w:val="none" w:sz="0" w:space="0" w:color="auto"/>
        <w:bottom w:val="none" w:sz="0" w:space="0" w:color="auto"/>
        <w:right w:val="none" w:sz="0" w:space="0" w:color="auto"/>
      </w:divBdr>
    </w:div>
    <w:div w:id="177466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3gpp.org/ftp/tsg_ran/wg1_rl1/TSGR1_119/Docs/R1-2409436.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28/Report/Draft_RAN2_128_Meeting_Report_v1.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2_RL2/TSGR2_127bis/Report/R2-2409502.zi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RBI5PAMIO524-1616901215-43217</_dlc_DocId>
    <_dlc_DocIdUrl xmlns="71c5aaf6-e6ce-465b-b873-5148d2a4c105">
      <Url>https://nokia.sharepoint.com/sites/gxp/_layouts/15/DocIdRedir.aspx?ID=RBI5PAMIO524-1616901215-43217</Url>
      <Description>RBI5PAMIO524-1616901215-43217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139A8CA2-1E90-47AC-BE09-5F1A6B95E57C}">
  <ds:schemaRefs>
    <ds:schemaRef ds:uri="http://schemas.openxmlformats.org/officeDocument/2006/bibliography"/>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873</TotalTime>
  <Pages>1</Pages>
  <Words>3030</Words>
  <Characters>17274</Characters>
  <Application>Microsoft Office Word</Application>
  <DocSecurity>0</DocSecurity>
  <Lines>143</Lines>
  <Paragraphs>40</Paragraphs>
  <ScaleCrop>false</ScaleCrop>
  <Manager/>
  <Company>Nokia</Company>
  <LinksUpToDate>false</LinksUpToDate>
  <CharactersWithSpaces>20264</CharactersWithSpaces>
  <SharedDoc>false</SharedDoc>
  <HyperlinkBase/>
  <HLinks>
    <vt:vector size="18" baseType="variant">
      <vt:variant>
        <vt:i4>7471176</vt:i4>
      </vt:variant>
      <vt:variant>
        <vt:i4>18</vt:i4>
      </vt:variant>
      <vt:variant>
        <vt:i4>0</vt:i4>
      </vt:variant>
      <vt:variant>
        <vt:i4>5</vt:i4>
      </vt:variant>
      <vt:variant>
        <vt:lpwstr>https://www.3gpp.org/ftp/tsg_ran/wg1_rl1/TSGR1_119/Docs/R1-2409436.zip</vt:lpwstr>
      </vt:variant>
      <vt:variant>
        <vt:lpwstr/>
      </vt:variant>
      <vt:variant>
        <vt:i4>4128831</vt:i4>
      </vt:variant>
      <vt:variant>
        <vt:i4>15</vt:i4>
      </vt:variant>
      <vt:variant>
        <vt:i4>0</vt:i4>
      </vt:variant>
      <vt:variant>
        <vt:i4>5</vt:i4>
      </vt:variant>
      <vt:variant>
        <vt:lpwstr>https://www.3gpp.org/ftp/TSG_RAN/WG2_RL2/TSGR2_128/Report/Draft_RAN2_128_Meeting_Report_v1.zip</vt:lpwstr>
      </vt:variant>
      <vt:variant>
        <vt:lpwstr/>
      </vt:variant>
      <vt:variant>
        <vt:i4>7405661</vt:i4>
      </vt:variant>
      <vt:variant>
        <vt:i4>12</vt:i4>
      </vt:variant>
      <vt:variant>
        <vt:i4>0</vt:i4>
      </vt:variant>
      <vt:variant>
        <vt:i4>5</vt:i4>
      </vt:variant>
      <vt:variant>
        <vt:lpwstr>https://www.3gpp.org/ftp/TSG_RAN/WG2_RL2/TSGR2_127bis/Report/R2-2409502.zip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501</cp:revision>
  <dcterms:created xsi:type="dcterms:W3CDTF">2016-08-13T16:53:00Z</dcterms:created>
  <dcterms:modified xsi:type="dcterms:W3CDTF">2025-03-28T07:32:00Z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5e9124c7-0454-4058-a42b-12236a95b912</vt:lpwstr>
  </property>
</Properties>
</file>